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 Service Levels</w:t>
      </w:r>
    </w:p>
    <w:p w:rsidR="00000000" w:rsidDel="00000000" w:rsidP="00000000" w:rsidRDefault="00000000" w:rsidRPr="00000000" w14:paraId="00000002">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142"/>
        </w:tabs>
        <w:spacing w:after="12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Contracting Authority to the rights set out in Part A of this Schedule including the right to any Service Credits. Any Service Credit is a price adjustment and not an estimate of the Loss that may be suffered by the Contracting Authority as a result of the Supplier’s failure to meet any Service Level Performance Measure.</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Contracting Authority detailing the level of service which was achieved in accordance with the provisions of Part B (Performance Monitoring) of this Schedule.</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Contracting Authority’s exclusive financial remedy for a Service Level Failure except where: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 the Supplier has over the previous (twelve) 12 Month period exceeded the Service Credit Cap; and/or</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 the Service Level Failure: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32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1.4.2.1 exceeds the relevant Service Level Threshold;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32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1.4.2.2 has arisen due to a Prohibited Act or wilful Default by the Supplier;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32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 results in the corruption or loss of any Government Data; and/or</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880" w:right="0" w:hanging="32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1.4.2.4 results in the Contracting Authority being required to make a compensation payment to one or more third parties; and/or</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 the Contracting Authority is otherwise entitled to or does terminate this Call-Off Contract pursuant to Clause 10.4 (CCS and Contracting Authority Termination Rights).</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Contracting Authority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 the total number of Service Levels for which the weighting is to be changed does not exceed the number applicable as at the Start Date;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 the principal purpose of the change is to reflect changes in the Contracting Authority business requirements and/or priorities or to reflect changing industry standards; and</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 there is no change to the Service Credit Cap.</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Critical Service Level Failure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134"/>
          <w:tab w:val="left" w:leader="none" w:pos="1560"/>
        </w:tabs>
        <w:spacing w:after="120" w:before="120" w:line="240" w:lineRule="auto"/>
        <w:ind w:left="1440" w:right="0" w:hanging="305.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shall (subject to the Service Credit Cap) be entitled to withhold and retain as compensation a sum equal to any Charges which would otherwise have been due to the Supplier in respect of that Service Period ("Compensation for Critical Service Level Failure"),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0"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provided that the operation of this paragraph 2 shall be without prejudice to the right of the Contracting Authority to terminate this Call-Off Contract and/or to claim damages from the Supplier for material Default.</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426"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A: Service Levels and Service Credits </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1.</w:t>
        <w:tab/>
        <w:t xml:space="preserve">Service Levels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firstLine="6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Level Failure to occur,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Contracting Authority in writing and the Contracting Authority, in its absolute discretion and without limiting any other of its rights, may:</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Contracting Authority and to rectify or prevent a Service Level Failure or Critical Service Level Failure from taking place or recurring;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Contracting Authority; and/or</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Service Credits</w:t>
      </w:r>
    </w:p>
    <w:p w:rsidR="00000000" w:rsidDel="00000000" w:rsidP="00000000" w:rsidRDefault="00000000" w:rsidRPr="00000000" w14:paraId="0000003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8"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40" w:right="0" w:hanging="58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example in Annex A to Part A of this Schedule. </w:t>
      </w:r>
    </w:p>
    <w:p w:rsidR="00000000" w:rsidDel="00000000" w:rsidP="00000000" w:rsidRDefault="00000000" w:rsidRPr="00000000" w14:paraId="0000003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40" w:right="0" w:hanging="58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shall not be payable by the Supplier to the Contracting Authority during the Initial Operating Capability period (the first three (3) reporting periods). For clarity and avoidance of doubt the Supplier shall maintain all of its obligations pursuant to Part A to this Schedule 14 during the Initial Operating Capability period (save clause 1.2.3).</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A to Part A: Services Levels and Service Credits Table</w:t>
      </w:r>
    </w:p>
    <w:p w:rsidR="00000000" w:rsidDel="00000000" w:rsidP="00000000" w:rsidRDefault="00000000" w:rsidRPr="00000000" w14:paraId="0000003D">
      <w:pPr>
        <w:spacing w:after="240" w:line="240" w:lineRule="auto"/>
        <w:jc w:val="both"/>
        <w:rPr>
          <w:rFonts w:ascii="Arial" w:cs="Arial" w:eastAsia="Arial" w:hAnsi="Arial"/>
        </w:rPr>
      </w:pPr>
      <w:r w:rsidDel="00000000" w:rsidR="00000000" w:rsidRPr="00000000">
        <w:rPr>
          <w:rtl w:val="0"/>
        </w:rPr>
      </w:r>
    </w:p>
    <w:tbl>
      <w:tblPr>
        <w:tblStyle w:val="Table2"/>
        <w:tblW w:w="9889.0" w:type="dxa"/>
        <w:jc w:val="left"/>
        <w:tblInd w:w="-113.0"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6A0"/>
      </w:tblPr>
      <w:tblGrid>
        <w:gridCol w:w="830"/>
        <w:gridCol w:w="3814"/>
        <w:gridCol w:w="1276"/>
        <w:gridCol w:w="1276"/>
        <w:gridCol w:w="1134"/>
        <w:gridCol w:w="1559"/>
        <w:tblGridChange w:id="0">
          <w:tblGrid>
            <w:gridCol w:w="830"/>
            <w:gridCol w:w="3814"/>
            <w:gridCol w:w="1276"/>
            <w:gridCol w:w="1276"/>
            <w:gridCol w:w="1134"/>
            <w:gridCol w:w="1559"/>
          </w:tblGrid>
        </w:tblGridChange>
      </w:tblGrid>
      <w:tr>
        <w:trPr>
          <w:cantSplit w:val="0"/>
          <w:trHeight w:val="514" w:hRule="atLeast"/>
          <w:tblHeader w:val="0"/>
        </w:trPr>
        <w:tc>
          <w:tcPr>
            <w:vMerge w:val="restart"/>
            <w:tcBorders>
              <w:top w:color="5b9bd5" w:space="0" w:sz="4" w:val="single"/>
              <w:left w:color="5b9bd5" w:space="0" w:sz="4" w:val="single"/>
              <w:bottom w:color="000000" w:space="0" w:sz="0" w:val="nil"/>
              <w:right w:color="5b9bd5" w:space="0" w:sz="4" w:val="single"/>
            </w:tcBorders>
          </w:tcPr>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rtl w:val="0"/>
              </w:rPr>
              <w:t xml:space="preserve">Service Level Serial</w:t>
            </w:r>
          </w:p>
        </w:tc>
        <w:tc>
          <w:tcPr>
            <w:vMerge w:val="restart"/>
            <w:tcBorders>
              <w:top w:color="5b9bd5" w:space="0" w:sz="4" w:val="single"/>
              <w:left w:color="5b9bd5" w:space="0" w:sz="4" w:val="single"/>
              <w:bottom w:color="000000" w:space="0" w:sz="0" w:val="nil"/>
              <w:right w:color="5b9bd5" w:space="0" w:sz="4" w:val="single"/>
            </w:tcBorders>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Service Level Performance Criteria </w:t>
            </w:r>
          </w:p>
        </w:tc>
        <w:tc>
          <w:tcPr>
            <w:gridSpan w:val="3"/>
            <w:tcBorders>
              <w:top w:color="5b9bd5" w:space="0" w:sz="4" w:val="single"/>
              <w:left w:color="5b9bd5" w:space="0" w:sz="4" w:val="single"/>
              <w:bottom w:color="000000" w:space="0" w:sz="0" w:val="nil"/>
              <w:right w:color="5b9bd5" w:space="0" w:sz="4" w:val="single"/>
            </w:tcBorders>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Service Level Performance Measure </w:t>
            </w:r>
          </w:p>
        </w:tc>
        <w:tc>
          <w:tcPr>
            <w:vMerge w:val="restart"/>
            <w:tcBorders>
              <w:top w:color="5b9bd5" w:space="0" w:sz="4" w:val="single"/>
              <w:left w:color="5b9bd5" w:space="0" w:sz="4" w:val="single"/>
              <w:bottom w:color="000000" w:space="0" w:sz="0" w:val="nil"/>
              <w:right w:color="5b9bd5" w:space="0" w:sz="4" w:val="single"/>
            </w:tcBorders>
          </w:tcPr>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rtl w:val="0"/>
              </w:rPr>
              <w:t xml:space="preserve">Service Credit for each Service Period </w:t>
            </w:r>
          </w:p>
        </w:tc>
      </w:tr>
      <w:tr>
        <w:trPr>
          <w:cantSplit w:val="0"/>
          <w:tblHeader w:val="0"/>
        </w:trPr>
        <w:tc>
          <w:tcPr>
            <w:vMerge w:val="continue"/>
            <w:tcBorders>
              <w:top w:color="5b9bd5" w:space="0" w:sz="4" w:val="single"/>
              <w:left w:color="5b9bd5" w:space="0" w:sz="4" w:val="single"/>
              <w:bottom w:color="000000" w:space="0" w:sz="0" w:val="nil"/>
              <w:right w:color="5b9bd5" w:space="0" w:sz="4" w:val="single"/>
            </w:tcBorders>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tcBorders>
              <w:top w:color="5b9bd5" w:space="0" w:sz="4" w:val="single"/>
              <w:left w:color="5b9bd5" w:space="0" w:sz="4" w:val="single"/>
              <w:bottom w:color="000000" w:space="0" w:sz="0" w:val="nil"/>
              <w:right w:color="5b9bd5" w:space="0" w:sz="4" w:val="single"/>
            </w:tcBorders>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0" w:val="nil"/>
              <w:bottom w:color="4472c4" w:space="0" w:sz="12" w:val="single"/>
              <w:right w:color="5b9bd5" w:space="0" w:sz="4" w:val="single"/>
            </w:tcBorders>
          </w:tcPr>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color w:val="000000"/>
                <w:sz w:val="18"/>
                <w:szCs w:val="18"/>
                <w:highlight w:val="white"/>
                <w:rtl w:val="0"/>
              </w:rPr>
              <w:t xml:space="preserve">During each of the first three (3) reporting periods </w:t>
            </w:r>
            <w:r w:rsidDel="00000000" w:rsidR="00000000" w:rsidRPr="00000000">
              <w:rPr>
                <w:rtl w:val="0"/>
              </w:rPr>
            </w:r>
          </w:p>
        </w:tc>
        <w:tc>
          <w:tcPr>
            <w:tcBorders>
              <w:top w:color="000000" w:space="0" w:sz="0" w:val="nil"/>
              <w:left w:color="5b9bd5" w:space="0" w:sz="4" w:val="single"/>
              <w:bottom w:color="4472c4" w:space="0" w:sz="12" w:val="single"/>
              <w:right w:color="5b9bd5" w:space="0" w:sz="4" w:val="single"/>
            </w:tcBorders>
          </w:tcPr>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color w:val="000000"/>
                <w:sz w:val="18"/>
                <w:szCs w:val="18"/>
                <w:highlight w:val="white"/>
                <w:rtl w:val="0"/>
              </w:rPr>
              <w:t xml:space="preserve">During each reporting periods 4, 5 and 6 </w:t>
            </w:r>
            <w:r w:rsidDel="00000000" w:rsidR="00000000" w:rsidRPr="00000000">
              <w:rPr>
                <w:rtl w:val="0"/>
              </w:rPr>
            </w:r>
          </w:p>
        </w:tc>
        <w:tc>
          <w:tcPr>
            <w:tcBorders>
              <w:top w:color="000000" w:space="0" w:sz="0" w:val="nil"/>
              <w:left w:color="5b9bd5" w:space="0" w:sz="4" w:val="single"/>
              <w:bottom w:color="4472c4" w:space="0" w:sz="12" w:val="single"/>
              <w:right w:color="5b9bd5" w:space="0" w:sz="4" w:val="single"/>
            </w:tcBorders>
          </w:tcPr>
          <w:p w:rsidR="00000000" w:rsidDel="00000000" w:rsidP="00000000" w:rsidRDefault="00000000" w:rsidRPr="00000000" w14:paraId="00000048">
            <w:pPr>
              <w:rPr>
                <w:rFonts w:ascii="Arial" w:cs="Arial" w:eastAsia="Arial" w:hAnsi="Arial"/>
              </w:rPr>
            </w:pPr>
            <w:r w:rsidDel="00000000" w:rsidR="00000000" w:rsidRPr="00000000">
              <w:rPr>
                <w:rFonts w:ascii="Arial" w:cs="Arial" w:eastAsia="Arial" w:hAnsi="Arial"/>
                <w:color w:val="000000"/>
                <w:sz w:val="18"/>
                <w:szCs w:val="18"/>
                <w:highlight w:val="white"/>
                <w:rtl w:val="0"/>
              </w:rPr>
              <w:t xml:space="preserve">Following reporting period 6  </w:t>
            </w:r>
            <w:r w:rsidDel="00000000" w:rsidR="00000000" w:rsidRPr="00000000">
              <w:rPr>
                <w:rtl w:val="0"/>
              </w:rPr>
            </w:r>
          </w:p>
        </w:tc>
        <w:tc>
          <w:tcPr>
            <w:vMerge w:val="continue"/>
            <w:tcBorders>
              <w:top w:color="5b9bd5" w:space="0" w:sz="4" w:val="single"/>
              <w:left w:color="5b9bd5" w:space="0" w:sz="4" w:val="single"/>
              <w:bottom w:color="000000" w:space="0" w:sz="0" w:val="nil"/>
              <w:right w:color="5b9bd5" w:space="0" w:sz="4" w:val="single"/>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blHeader w:val="0"/>
        </w:trPr>
        <w:tc>
          <w:tcPr>
            <w:tcBorders>
              <w:top w:color="4472c4" w:space="0" w:sz="12" w:val="single"/>
              <w:left w:color="5b9bd5" w:space="0" w:sz="4" w:val="single"/>
              <w:bottom w:color="5b9bd5" w:space="0" w:sz="4" w:val="single"/>
              <w:right w:color="5b9bd5" w:space="0" w:sz="4" w:val="single"/>
            </w:tcBorders>
          </w:tcPr>
          <w:p w:rsidR="00000000" w:rsidDel="00000000" w:rsidP="00000000" w:rsidRDefault="00000000" w:rsidRPr="00000000" w14:paraId="0000004A">
            <w:pPr>
              <w:rPr>
                <w:rFonts w:ascii="Arial" w:cs="Arial" w:eastAsia="Arial" w:hAnsi="Arial"/>
              </w:rPr>
            </w:pPr>
            <w:r w:rsidDel="00000000" w:rsidR="00000000" w:rsidRPr="00000000">
              <w:rPr>
                <w:rFonts w:ascii="Arial" w:cs="Arial" w:eastAsia="Arial" w:hAnsi="Arial"/>
                <w:rtl w:val="0"/>
              </w:rPr>
              <w:t xml:space="preserve">1</w:t>
            </w:r>
          </w:p>
        </w:tc>
        <w:tc>
          <w:tcPr>
            <w:tcBorders>
              <w:top w:color="4472c4" w:space="0" w:sz="12" w:val="single"/>
              <w:left w:color="5b9bd5" w:space="0" w:sz="4" w:val="single"/>
              <w:bottom w:color="5b9bd5" w:space="0" w:sz="4" w:val="single"/>
              <w:right w:color="5b9bd5" w:space="0" w:sz="4" w:val="single"/>
            </w:tcBorders>
          </w:tcPr>
          <w:p w:rsidR="00000000" w:rsidDel="00000000" w:rsidP="00000000" w:rsidRDefault="00000000" w:rsidRPr="00000000" w14:paraId="0000004B">
            <w:pPr>
              <w:rPr>
                <w:rFonts w:ascii="Arial" w:cs="Arial" w:eastAsia="Arial" w:hAnsi="Arial"/>
                <w:b w:val="1"/>
                <w:color w:val="4472c4"/>
              </w:rPr>
            </w:pPr>
            <w:r w:rsidDel="00000000" w:rsidR="00000000" w:rsidRPr="00000000">
              <w:rPr>
                <w:rFonts w:ascii="Arial" w:cs="Arial" w:eastAsia="Arial" w:hAnsi="Arial"/>
                <w:b w:val="1"/>
                <w:rtl w:val="0"/>
              </w:rPr>
              <w:t xml:space="preserve">Provision of Compliant Temporary Healthcare Workers </w:t>
            </w:r>
            <w:r w:rsidDel="00000000" w:rsidR="00000000" w:rsidRPr="00000000">
              <w:rPr>
                <w:rtl w:val="0"/>
              </w:rPr>
            </w:r>
          </w:p>
          <w:p w:rsidR="00000000" w:rsidDel="00000000" w:rsidP="00000000" w:rsidRDefault="00000000" w:rsidRPr="00000000" w14:paraId="0000004C">
            <w:pPr>
              <w:rPr>
                <w:rFonts w:ascii="Arial" w:cs="Arial" w:eastAsia="Arial" w:hAnsi="Arial"/>
                <w:b w:val="1"/>
                <w:color w:val="4472c4"/>
              </w:rPr>
            </w:pPr>
            <w:r w:rsidDel="00000000" w:rsidR="00000000" w:rsidRPr="00000000">
              <w:rPr>
                <w:rtl w:val="0"/>
              </w:rPr>
            </w:r>
          </w:p>
          <w:p w:rsidR="00000000" w:rsidDel="00000000" w:rsidP="00000000" w:rsidRDefault="00000000" w:rsidRPr="00000000" w14:paraId="0000004D">
            <w:pPr>
              <w:rPr>
                <w:rFonts w:ascii="Arial" w:cs="Arial" w:eastAsia="Arial" w:hAnsi="Arial"/>
              </w:rPr>
            </w:pPr>
            <w:r w:rsidDel="00000000" w:rsidR="00000000" w:rsidRPr="00000000">
              <w:rPr>
                <w:rFonts w:ascii="Arial" w:cs="Arial" w:eastAsia="Arial" w:hAnsi="Arial"/>
                <w:rtl w:val="0"/>
              </w:rPr>
              <w:t xml:space="preserve">Percentage of Demand Orders raised by the Contracting Authority against which the Supplier provides at least one (1) CV and associated Summary of Candidate Compliance Checklist for each Compliant Candidate (in compliance with all contractual timeframes and notification obligations).   </w:t>
            </w:r>
          </w:p>
        </w:tc>
        <w:tc>
          <w:tcPr>
            <w:tcBorders>
              <w:top w:color="4472c4" w:space="0" w:sz="12" w:val="single"/>
              <w:left w:color="5b9bd5" w:space="0" w:sz="4" w:val="single"/>
              <w:bottom w:color="5b9bd5" w:space="0" w:sz="4" w:val="single"/>
              <w:right w:color="5b9bd5" w:space="0" w:sz="4" w:val="single"/>
            </w:tcBorders>
          </w:tcPr>
          <w:p w:rsidR="00000000" w:rsidDel="00000000" w:rsidP="00000000" w:rsidRDefault="00000000" w:rsidRPr="00000000" w14:paraId="0000004E">
            <w:pPr>
              <w:rPr>
                <w:rFonts w:ascii="Arial" w:cs="Arial" w:eastAsia="Arial" w:hAnsi="Arial"/>
              </w:rPr>
            </w:pPr>
            <w:r w:rsidDel="00000000" w:rsidR="00000000" w:rsidRPr="00000000">
              <w:rPr>
                <w:rFonts w:ascii="Arial" w:cs="Arial" w:eastAsia="Arial" w:hAnsi="Arial"/>
                <w:rtl w:val="0"/>
              </w:rPr>
              <w:t xml:space="preserve">at least 75%</w:t>
            </w:r>
          </w:p>
        </w:tc>
        <w:tc>
          <w:tcPr>
            <w:tcBorders>
              <w:top w:color="4472c4" w:space="0" w:sz="12" w:val="single"/>
              <w:left w:color="5b9bd5" w:space="0" w:sz="4" w:val="single"/>
              <w:bottom w:color="5b9bd5" w:space="0" w:sz="4" w:val="single"/>
              <w:right w:color="5b9bd5" w:space="0" w:sz="4" w:val="single"/>
            </w:tcBorders>
          </w:tcPr>
          <w:p w:rsidR="00000000" w:rsidDel="00000000" w:rsidP="00000000" w:rsidRDefault="00000000" w:rsidRPr="00000000" w14:paraId="0000004F">
            <w:pPr>
              <w:rPr>
                <w:rFonts w:ascii="Arial" w:cs="Arial" w:eastAsia="Arial" w:hAnsi="Arial"/>
              </w:rPr>
            </w:pPr>
            <w:r w:rsidDel="00000000" w:rsidR="00000000" w:rsidRPr="00000000">
              <w:rPr>
                <w:rFonts w:ascii="Arial" w:cs="Arial" w:eastAsia="Arial" w:hAnsi="Arial"/>
                <w:rtl w:val="0"/>
              </w:rPr>
              <w:t xml:space="preserve">at least 80%</w:t>
            </w:r>
          </w:p>
        </w:tc>
        <w:tc>
          <w:tcPr>
            <w:tcBorders>
              <w:top w:color="4472c4" w:space="0" w:sz="12" w:val="single"/>
              <w:left w:color="5b9bd5" w:space="0" w:sz="4" w:val="single"/>
              <w:bottom w:color="5b9bd5" w:space="0" w:sz="4" w:val="single"/>
              <w:right w:color="5b9bd5" w:space="0" w:sz="4" w:val="single"/>
            </w:tcBorders>
          </w:tcPr>
          <w:p w:rsidR="00000000" w:rsidDel="00000000" w:rsidP="00000000" w:rsidRDefault="00000000" w:rsidRPr="00000000" w14:paraId="00000050">
            <w:pPr>
              <w:rPr>
                <w:rFonts w:ascii="Arial" w:cs="Arial" w:eastAsia="Arial" w:hAnsi="Arial"/>
              </w:rPr>
            </w:pPr>
            <w:r w:rsidDel="00000000" w:rsidR="00000000" w:rsidRPr="00000000">
              <w:rPr>
                <w:rFonts w:ascii="Arial" w:cs="Arial" w:eastAsia="Arial" w:hAnsi="Arial"/>
                <w:rtl w:val="0"/>
              </w:rPr>
              <w:t xml:space="preserve">At least 85%</w:t>
            </w:r>
          </w:p>
        </w:tc>
        <w:tc>
          <w:tcPr>
            <w:tcBorders>
              <w:top w:color="4472c4" w:space="0" w:sz="12" w:val="single"/>
              <w:left w:color="5b9bd5" w:space="0" w:sz="4" w:val="single"/>
              <w:bottom w:color="5b9bd5" w:space="0" w:sz="4" w:val="single"/>
              <w:right w:color="5b9bd5" w:space="0" w:sz="4" w:val="single"/>
            </w:tcBorders>
          </w:tcPr>
          <w:p w:rsidR="00000000" w:rsidDel="00000000" w:rsidP="00000000" w:rsidRDefault="00000000" w:rsidRPr="00000000" w14:paraId="00000051">
            <w:pPr>
              <w:rPr>
                <w:rFonts w:ascii="Arial" w:cs="Arial" w:eastAsia="Arial" w:hAnsi="Arial"/>
              </w:rPr>
            </w:pPr>
            <w:r w:rsidDel="00000000" w:rsidR="00000000" w:rsidRPr="00000000">
              <w:rPr>
                <w:rFonts w:ascii="Arial" w:cs="Arial" w:eastAsia="Arial" w:hAnsi="Arial"/>
                <w:rtl w:val="0"/>
              </w:rPr>
              <w:t xml:space="preserve">1% Service Credit gained for each 1% under the specified performance measure up to a maximum of 5%. Service credits will only be applied from reporting period 4 onwards.</w:t>
            </w:r>
          </w:p>
        </w:tc>
      </w:tr>
      <w:tr>
        <w:trPr>
          <w:cantSplit w:val="0"/>
          <w:tblHeader w:val="0"/>
        </w:trPr>
        <w:tc>
          <w:tcPr/>
          <w:p w:rsidR="00000000" w:rsidDel="00000000" w:rsidP="00000000" w:rsidRDefault="00000000" w:rsidRPr="00000000" w14:paraId="00000052">
            <w:pPr>
              <w:rPr>
                <w:rFonts w:ascii="Arial" w:cs="Arial" w:eastAsia="Arial" w:hAnsi="Arial"/>
              </w:rPr>
            </w:pPr>
            <w:r w:rsidDel="00000000" w:rsidR="00000000" w:rsidRPr="00000000">
              <w:rPr>
                <w:rFonts w:ascii="Arial" w:cs="Arial" w:eastAsia="Arial" w:hAnsi="Arial"/>
                <w:rtl w:val="0"/>
              </w:rPr>
              <w:t xml:space="preserve">2</w:t>
            </w:r>
          </w:p>
        </w:tc>
        <w:tc>
          <w:tcPr/>
          <w:p w:rsidR="00000000" w:rsidDel="00000000" w:rsidP="00000000" w:rsidRDefault="00000000" w:rsidRPr="00000000" w14:paraId="00000053">
            <w:pPr>
              <w:rPr>
                <w:rFonts w:ascii="Arial" w:cs="Arial" w:eastAsia="Arial" w:hAnsi="Arial"/>
                <w:b w:val="1"/>
              </w:rPr>
            </w:pPr>
            <w:r w:rsidDel="00000000" w:rsidR="00000000" w:rsidRPr="00000000">
              <w:rPr>
                <w:rFonts w:ascii="Arial" w:cs="Arial" w:eastAsia="Arial" w:hAnsi="Arial"/>
                <w:b w:val="1"/>
                <w:rtl w:val="0"/>
              </w:rPr>
              <w:t xml:space="preserve">Fill of Placement </w:t>
            </w:r>
          </w:p>
          <w:p w:rsidR="00000000" w:rsidDel="00000000" w:rsidP="00000000" w:rsidRDefault="00000000" w:rsidRPr="00000000" w14:paraId="00000054">
            <w:pPr>
              <w:rPr>
                <w:rFonts w:ascii="Arial" w:cs="Arial" w:eastAsia="Arial" w:hAnsi="Arial"/>
                <w:b w:val="1"/>
              </w:rPr>
            </w:pPr>
            <w:r w:rsidDel="00000000" w:rsidR="00000000" w:rsidRPr="00000000">
              <w:rPr>
                <w:rFonts w:ascii="Arial" w:cs="Arial" w:eastAsia="Arial" w:hAnsi="Arial"/>
                <w:rtl w:val="0"/>
              </w:rPr>
              <w:t xml:space="preserve">Where the Hiring Manager accepts a Candidate CV within the timescales at </w:t>
            </w:r>
            <w:r w:rsidDel="00000000" w:rsidR="00000000" w:rsidRPr="00000000">
              <w:rPr>
                <w:rFonts w:ascii="Arial" w:cs="Arial" w:eastAsia="Arial" w:hAnsi="Arial"/>
                <w:color w:val="000000"/>
                <w:rtl w:val="0"/>
              </w:rPr>
              <w:t xml:space="preserve">paragraph 13.4 of </w:t>
            </w:r>
            <w:r w:rsidDel="00000000" w:rsidR="00000000" w:rsidRPr="00000000">
              <w:rPr>
                <w:rFonts w:ascii="Arial" w:cs="Arial" w:eastAsia="Arial" w:hAnsi="Arial"/>
                <w:rtl w:val="0"/>
              </w:rPr>
              <w:t xml:space="preserve">the Statement of Requirements, Percentage of Demand Orders raised by the Contracting Authority that are filled by a THW who is compliant with the requirements of the Demand Order, including the required start date, and for whom the Supplier has undertaken all Compliance Checks.</w:t>
            </w:r>
            <w:r w:rsidDel="00000000" w:rsidR="00000000" w:rsidRPr="00000000">
              <w:rPr>
                <w:rtl w:val="0"/>
              </w:rPr>
            </w:r>
          </w:p>
        </w:tc>
        <w:tc>
          <w:tcPr/>
          <w:p w:rsidR="00000000" w:rsidDel="00000000" w:rsidP="00000000" w:rsidRDefault="00000000" w:rsidRPr="00000000" w14:paraId="00000055">
            <w:pPr>
              <w:rPr>
                <w:rFonts w:ascii="Arial" w:cs="Arial" w:eastAsia="Arial" w:hAnsi="Arial"/>
              </w:rPr>
            </w:pPr>
            <w:r w:rsidDel="00000000" w:rsidR="00000000" w:rsidRPr="00000000">
              <w:rPr>
                <w:rFonts w:ascii="Arial" w:cs="Arial" w:eastAsia="Arial" w:hAnsi="Arial"/>
                <w:rtl w:val="0"/>
              </w:rPr>
              <w:t xml:space="preserve">at least 70%</w:t>
            </w:r>
          </w:p>
        </w:tc>
        <w:tc>
          <w:tcPr/>
          <w:p w:rsidR="00000000" w:rsidDel="00000000" w:rsidP="00000000" w:rsidRDefault="00000000" w:rsidRPr="00000000" w14:paraId="00000056">
            <w:pPr>
              <w:rPr>
                <w:rFonts w:ascii="Arial" w:cs="Arial" w:eastAsia="Arial" w:hAnsi="Arial"/>
              </w:rPr>
            </w:pPr>
            <w:r w:rsidDel="00000000" w:rsidR="00000000" w:rsidRPr="00000000">
              <w:rPr>
                <w:rFonts w:ascii="Arial" w:cs="Arial" w:eastAsia="Arial" w:hAnsi="Arial"/>
                <w:rtl w:val="0"/>
              </w:rPr>
              <w:t xml:space="preserve">at least 75%</w:t>
            </w:r>
          </w:p>
        </w:tc>
        <w:tc>
          <w:tcPr/>
          <w:p w:rsidR="00000000" w:rsidDel="00000000" w:rsidP="00000000" w:rsidRDefault="00000000" w:rsidRPr="00000000" w14:paraId="00000057">
            <w:pPr>
              <w:rPr>
                <w:rFonts w:ascii="Arial" w:cs="Arial" w:eastAsia="Arial" w:hAnsi="Arial"/>
              </w:rPr>
            </w:pPr>
            <w:r w:rsidDel="00000000" w:rsidR="00000000" w:rsidRPr="00000000">
              <w:rPr>
                <w:rFonts w:ascii="Arial" w:cs="Arial" w:eastAsia="Arial" w:hAnsi="Arial"/>
                <w:rtl w:val="0"/>
              </w:rPr>
              <w:t xml:space="preserve">at least 80%</w:t>
            </w:r>
          </w:p>
        </w:tc>
        <w:tc>
          <w:tcPr/>
          <w:p w:rsidR="00000000" w:rsidDel="00000000" w:rsidP="00000000" w:rsidRDefault="00000000" w:rsidRPr="00000000" w14:paraId="00000058">
            <w:pPr>
              <w:rPr>
                <w:rFonts w:ascii="Arial" w:cs="Arial" w:eastAsia="Arial" w:hAnsi="Arial"/>
              </w:rPr>
            </w:pPr>
            <w:r w:rsidDel="00000000" w:rsidR="00000000" w:rsidRPr="00000000">
              <w:rPr>
                <w:rFonts w:ascii="Arial" w:cs="Arial" w:eastAsia="Arial" w:hAnsi="Arial"/>
                <w:rtl w:val="0"/>
              </w:rPr>
              <w:t xml:space="preserve">1% Service Credit gained for each 1% under the specified performance measure up to a maximum of 5%. Service credits will only be applied from reporting period 4 onwards.</w:t>
            </w:r>
          </w:p>
        </w:tc>
      </w:tr>
      <w:tr>
        <w:trPr>
          <w:cantSplit w:val="0"/>
          <w:tblHeader w:val="0"/>
        </w:trPr>
        <w:tc>
          <w:tcPr/>
          <w:p w:rsidR="00000000" w:rsidDel="00000000" w:rsidP="00000000" w:rsidRDefault="00000000" w:rsidRPr="00000000" w14:paraId="00000059">
            <w:pPr>
              <w:rPr>
                <w:rFonts w:ascii="Arial" w:cs="Arial" w:eastAsia="Arial" w:hAnsi="Arial"/>
              </w:rPr>
            </w:pPr>
            <w:r w:rsidDel="00000000" w:rsidR="00000000" w:rsidRPr="00000000">
              <w:rPr>
                <w:rFonts w:ascii="Arial" w:cs="Arial" w:eastAsia="Arial" w:hAnsi="Arial"/>
                <w:rtl w:val="0"/>
              </w:rPr>
              <w:t xml:space="preserve">3</w:t>
            </w:r>
          </w:p>
        </w:tc>
        <w:tc>
          <w:tcPr/>
          <w:p w:rsidR="00000000" w:rsidDel="00000000" w:rsidP="00000000" w:rsidRDefault="00000000" w:rsidRPr="00000000" w14:paraId="0000005A">
            <w:pPr>
              <w:rPr>
                <w:rFonts w:ascii="Arial" w:cs="Arial" w:eastAsia="Arial" w:hAnsi="Arial"/>
              </w:rPr>
            </w:pPr>
            <w:r w:rsidDel="00000000" w:rsidR="00000000" w:rsidRPr="00000000">
              <w:rPr>
                <w:rFonts w:ascii="Arial" w:cs="Arial" w:eastAsia="Arial" w:hAnsi="Arial"/>
                <w:b w:val="1"/>
                <w:rtl w:val="0"/>
              </w:rPr>
              <w:t xml:space="preserve">Acceptance of Placements</w:t>
            </w:r>
            <w:r w:rsidDel="00000000" w:rsidR="00000000" w:rsidRPr="00000000">
              <w:rPr>
                <w:rtl w:val="0"/>
              </w:rPr>
            </w:r>
          </w:p>
          <w:p w:rsidR="00000000" w:rsidDel="00000000" w:rsidP="00000000" w:rsidRDefault="00000000" w:rsidRPr="00000000" w14:paraId="0000005B">
            <w:pPr>
              <w:rPr>
                <w:rFonts w:ascii="Arial" w:cs="Arial" w:eastAsia="Arial" w:hAnsi="Arial"/>
              </w:rPr>
            </w:pPr>
            <w:r w:rsidDel="00000000" w:rsidR="00000000" w:rsidRPr="00000000">
              <w:rPr>
                <w:rFonts w:ascii="Arial" w:cs="Arial" w:eastAsia="Arial" w:hAnsi="Arial"/>
                <w:rtl w:val="0"/>
              </w:rPr>
              <w:t xml:space="preserve">Where the Hiring Manager accepts a Candidate CV within the timescales at </w:t>
            </w:r>
            <w:r w:rsidDel="00000000" w:rsidR="00000000" w:rsidRPr="00000000">
              <w:rPr>
                <w:rFonts w:ascii="Arial" w:cs="Arial" w:eastAsia="Arial" w:hAnsi="Arial"/>
                <w:color w:val="000000"/>
                <w:rtl w:val="0"/>
              </w:rPr>
              <w:t xml:space="preserve">paragraph 13.4 of the </w:t>
            </w:r>
            <w:r w:rsidDel="00000000" w:rsidR="00000000" w:rsidRPr="00000000">
              <w:rPr>
                <w:rFonts w:ascii="Arial" w:cs="Arial" w:eastAsia="Arial" w:hAnsi="Arial"/>
                <w:rtl w:val="0"/>
              </w:rPr>
              <w:t xml:space="preserve">Statement of Requirements, Percentage of Demand Orders raised by the Contracting Authority in the Reporting Period for which the Preferred Candidate, chosen by the Contracting Authority, does not accept the Placement and for which the Supplier cannot provide evidence to the Contracting Authority's satisfaction (acting reasonably) which indicates that the Preferred Candidate was available at the date of submission of the Candidate's CV and has since, prior to notification of their selection, become unable to accept the Placement as a result of accepting alternative employment (or for such other reason deemed acceptable by the Contracting Authority acting reasonably, e.g. sickness.)  </w:t>
            </w:r>
          </w:p>
        </w:tc>
        <w:tc>
          <w:tcPr/>
          <w:p w:rsidR="00000000" w:rsidDel="00000000" w:rsidP="00000000" w:rsidRDefault="00000000" w:rsidRPr="00000000" w14:paraId="0000005C">
            <w:pPr>
              <w:rPr>
                <w:rFonts w:ascii="Arial" w:cs="Arial" w:eastAsia="Arial" w:hAnsi="Arial"/>
              </w:rPr>
            </w:pPr>
            <w:r w:rsidDel="00000000" w:rsidR="00000000" w:rsidRPr="00000000">
              <w:rPr>
                <w:rFonts w:ascii="Arial" w:cs="Arial" w:eastAsia="Arial" w:hAnsi="Arial"/>
                <w:rtl w:val="0"/>
              </w:rPr>
              <w:t xml:space="preserve">0%</w:t>
            </w:r>
          </w:p>
        </w:tc>
        <w:tc>
          <w:tcPr/>
          <w:p w:rsidR="00000000" w:rsidDel="00000000" w:rsidP="00000000" w:rsidRDefault="00000000" w:rsidRPr="00000000" w14:paraId="0000005D">
            <w:pPr>
              <w:rPr>
                <w:rFonts w:ascii="Arial" w:cs="Arial" w:eastAsia="Arial" w:hAnsi="Arial"/>
              </w:rPr>
            </w:pPr>
            <w:r w:rsidDel="00000000" w:rsidR="00000000" w:rsidRPr="00000000">
              <w:rPr>
                <w:rFonts w:ascii="Arial" w:cs="Arial" w:eastAsia="Arial" w:hAnsi="Arial"/>
                <w:rtl w:val="0"/>
              </w:rPr>
              <w:t xml:space="preserve">0%</w:t>
            </w:r>
          </w:p>
        </w:tc>
        <w:tc>
          <w:tcPr/>
          <w:p w:rsidR="00000000" w:rsidDel="00000000" w:rsidP="00000000" w:rsidRDefault="00000000" w:rsidRPr="00000000" w14:paraId="0000005E">
            <w:pPr>
              <w:rPr>
                <w:rFonts w:ascii="Arial" w:cs="Arial" w:eastAsia="Arial" w:hAnsi="Arial"/>
              </w:rPr>
            </w:pPr>
            <w:r w:rsidDel="00000000" w:rsidR="00000000" w:rsidRPr="00000000">
              <w:rPr>
                <w:rFonts w:ascii="Arial" w:cs="Arial" w:eastAsia="Arial" w:hAnsi="Arial"/>
                <w:rtl w:val="0"/>
              </w:rPr>
              <w:t xml:space="preserve">0%</w:t>
            </w:r>
          </w:p>
        </w:tc>
        <w:tc>
          <w:tcPr/>
          <w:p w:rsidR="00000000" w:rsidDel="00000000" w:rsidP="00000000" w:rsidRDefault="00000000" w:rsidRPr="00000000" w14:paraId="0000005F">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0">
            <w:pPr>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061">
            <w:pPr>
              <w:rPr>
                <w:rFonts w:ascii="Arial" w:cs="Arial" w:eastAsia="Arial" w:hAnsi="Arial"/>
              </w:rPr>
            </w:pPr>
            <w:r w:rsidDel="00000000" w:rsidR="00000000" w:rsidRPr="00000000">
              <w:rPr>
                <w:rFonts w:ascii="Arial" w:cs="Arial" w:eastAsia="Arial" w:hAnsi="Arial"/>
                <w:b w:val="1"/>
                <w:rtl w:val="0"/>
              </w:rPr>
              <w:t xml:space="preserve">Completion of Placements </w:t>
            </w:r>
            <w:r w:rsidDel="00000000" w:rsidR="00000000" w:rsidRPr="00000000">
              <w:rPr>
                <w:rtl w:val="0"/>
              </w:rPr>
            </w:r>
          </w:p>
          <w:p w:rsidR="00000000" w:rsidDel="00000000" w:rsidP="00000000" w:rsidRDefault="00000000" w:rsidRPr="00000000" w14:paraId="00000062">
            <w:pPr>
              <w:rPr>
                <w:rFonts w:ascii="Arial" w:cs="Arial" w:eastAsia="Arial" w:hAnsi="Arial"/>
              </w:rPr>
            </w:pPr>
            <w:r w:rsidDel="00000000" w:rsidR="00000000" w:rsidRPr="00000000">
              <w:rPr>
                <w:rFonts w:ascii="Arial" w:cs="Arial" w:eastAsia="Arial" w:hAnsi="Arial"/>
                <w:rtl w:val="0"/>
              </w:rPr>
              <w:t xml:space="preserve">Percentage of Placements scheduled to complete during the Reporting Period where the Selected Candidate has complied with the Minimum Availability Requirements and attended the Placement for no less period than the period for which the Supplier confirmed that the Selected Candidate was available for when submitting the Candidate’s CV in response to a Demand Order raised by the Contracting Authority (i.e. the Candidate's exact availability).  </w:t>
            </w:r>
          </w:p>
        </w:tc>
        <w:tc>
          <w:tcPr/>
          <w:p w:rsidR="00000000" w:rsidDel="00000000" w:rsidP="00000000" w:rsidRDefault="00000000" w:rsidRPr="00000000" w14:paraId="00000063">
            <w:pPr>
              <w:rPr>
                <w:rFonts w:ascii="Arial" w:cs="Arial" w:eastAsia="Arial" w:hAnsi="Arial"/>
              </w:rPr>
            </w:pPr>
            <w:r w:rsidDel="00000000" w:rsidR="00000000" w:rsidRPr="00000000">
              <w:rPr>
                <w:rFonts w:ascii="Arial" w:cs="Arial" w:eastAsia="Arial" w:hAnsi="Arial"/>
                <w:rtl w:val="0"/>
              </w:rPr>
              <w:t xml:space="preserve">At least 95%</w:t>
            </w:r>
          </w:p>
        </w:tc>
        <w:tc>
          <w:tcPr/>
          <w:p w:rsidR="00000000" w:rsidDel="00000000" w:rsidP="00000000" w:rsidRDefault="00000000" w:rsidRPr="00000000" w14:paraId="00000064">
            <w:pPr>
              <w:rPr>
                <w:rFonts w:ascii="Arial" w:cs="Arial" w:eastAsia="Arial" w:hAnsi="Arial"/>
              </w:rPr>
            </w:pPr>
            <w:r w:rsidDel="00000000" w:rsidR="00000000" w:rsidRPr="00000000">
              <w:rPr>
                <w:rFonts w:ascii="Arial" w:cs="Arial" w:eastAsia="Arial" w:hAnsi="Arial"/>
                <w:rtl w:val="0"/>
              </w:rPr>
              <w:t xml:space="preserve">At least 95%</w:t>
            </w:r>
          </w:p>
        </w:tc>
        <w:tc>
          <w:tcPr/>
          <w:p w:rsidR="00000000" w:rsidDel="00000000" w:rsidP="00000000" w:rsidRDefault="00000000" w:rsidRPr="00000000" w14:paraId="00000065">
            <w:pPr>
              <w:rPr>
                <w:rFonts w:ascii="Arial" w:cs="Arial" w:eastAsia="Arial" w:hAnsi="Arial"/>
              </w:rPr>
            </w:pPr>
            <w:r w:rsidDel="00000000" w:rsidR="00000000" w:rsidRPr="00000000">
              <w:rPr>
                <w:rFonts w:ascii="Arial" w:cs="Arial" w:eastAsia="Arial" w:hAnsi="Arial"/>
                <w:rtl w:val="0"/>
              </w:rPr>
              <w:t xml:space="preserve">At least 95%</w:t>
            </w:r>
          </w:p>
        </w:tc>
        <w:tc>
          <w:tcPr/>
          <w:p w:rsidR="00000000" w:rsidDel="00000000" w:rsidP="00000000" w:rsidRDefault="00000000" w:rsidRPr="00000000" w14:paraId="00000066">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67">
            <w:pPr>
              <w:rPr>
                <w:rFonts w:ascii="Arial" w:cs="Arial" w:eastAsia="Arial" w:hAnsi="Arial"/>
              </w:rPr>
            </w:pPr>
            <w:r w:rsidDel="00000000" w:rsidR="00000000" w:rsidRPr="00000000">
              <w:rPr>
                <w:rFonts w:ascii="Arial" w:cs="Arial" w:eastAsia="Arial" w:hAnsi="Arial"/>
                <w:rtl w:val="0"/>
              </w:rPr>
              <w:t xml:space="preserve">5</w:t>
            </w:r>
          </w:p>
        </w:tc>
        <w:tc>
          <w:tcPr/>
          <w:p w:rsidR="00000000" w:rsidDel="00000000" w:rsidP="00000000" w:rsidRDefault="00000000" w:rsidRPr="00000000" w14:paraId="00000068">
            <w:pPr>
              <w:rPr>
                <w:rFonts w:ascii="Arial" w:cs="Arial" w:eastAsia="Arial" w:hAnsi="Arial"/>
              </w:rPr>
            </w:pPr>
            <w:r w:rsidDel="00000000" w:rsidR="00000000" w:rsidRPr="00000000">
              <w:rPr>
                <w:rFonts w:ascii="Arial" w:cs="Arial" w:eastAsia="Arial" w:hAnsi="Arial"/>
                <w:b w:val="1"/>
                <w:rtl w:val="0"/>
              </w:rPr>
              <w:t xml:space="preserve">Provision of First Day Documentation</w:t>
            </w:r>
            <w:r w:rsidDel="00000000" w:rsidR="00000000" w:rsidRPr="00000000">
              <w:rPr>
                <w:rFonts w:ascii="Arial" w:cs="Arial" w:eastAsia="Arial" w:hAnsi="Arial"/>
                <w:rtl w:val="0"/>
              </w:rPr>
              <w:t xml:space="preserve"> </w:t>
            </w:r>
          </w:p>
          <w:p w:rsidR="00000000" w:rsidDel="00000000" w:rsidP="00000000" w:rsidRDefault="00000000" w:rsidRPr="00000000" w14:paraId="00000069">
            <w:pPr>
              <w:rPr>
                <w:b w:val="1"/>
                <w:color w:val="4472c4"/>
              </w:rPr>
            </w:pPr>
            <w:r w:rsidDel="00000000" w:rsidR="00000000" w:rsidRPr="00000000">
              <w:rPr>
                <w:rtl w:val="0"/>
              </w:rPr>
            </w:r>
          </w:p>
          <w:p w:rsidR="00000000" w:rsidDel="00000000" w:rsidP="00000000" w:rsidRDefault="00000000" w:rsidRPr="00000000" w14:paraId="0000006A">
            <w:pPr>
              <w:rPr>
                <w:rFonts w:ascii="Arial" w:cs="Arial" w:eastAsia="Arial" w:hAnsi="Arial"/>
              </w:rPr>
            </w:pPr>
            <w:r w:rsidDel="00000000" w:rsidR="00000000" w:rsidRPr="00000000">
              <w:rPr>
                <w:rFonts w:ascii="Arial" w:cs="Arial" w:eastAsia="Arial" w:hAnsi="Arial"/>
                <w:rtl w:val="0"/>
              </w:rPr>
              <w:t xml:space="preserve">Percentage of Placements commencing during the Reporting Period where the Selected Candidate arrives at the Placement Location at the agreed time and date as set out in the Confirmation of Preferred Candidate notification and is in possession of an original full and complete set of First Day Documentation documents.</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6B">
            <w:pPr>
              <w:rPr>
                <w:rFonts w:ascii="Arial" w:cs="Arial" w:eastAsia="Arial" w:hAnsi="Arial"/>
              </w:rPr>
            </w:pPr>
            <w:r w:rsidDel="00000000" w:rsidR="00000000" w:rsidRPr="00000000">
              <w:rPr>
                <w:rtl w:val="0"/>
              </w:rPr>
            </w:r>
          </w:p>
        </w:tc>
        <w:tc>
          <w:tcPr/>
          <w:p w:rsidR="00000000" w:rsidDel="00000000" w:rsidP="00000000" w:rsidRDefault="00000000" w:rsidRPr="00000000" w14:paraId="0000006C">
            <w:pPr>
              <w:rPr>
                <w:rFonts w:ascii="Arial" w:cs="Arial" w:eastAsia="Arial" w:hAnsi="Arial"/>
              </w:rPr>
            </w:pPr>
            <w:r w:rsidDel="00000000" w:rsidR="00000000" w:rsidRPr="00000000">
              <w:rPr>
                <w:rFonts w:ascii="Arial" w:cs="Arial" w:eastAsia="Arial" w:hAnsi="Arial"/>
                <w:rtl w:val="0"/>
              </w:rPr>
              <w:t xml:space="preserve">100%</w:t>
            </w:r>
          </w:p>
        </w:tc>
        <w:tc>
          <w:tcPr/>
          <w:p w:rsidR="00000000" w:rsidDel="00000000" w:rsidP="00000000" w:rsidRDefault="00000000" w:rsidRPr="00000000" w14:paraId="0000006D">
            <w:pPr>
              <w:rPr>
                <w:rFonts w:ascii="Arial" w:cs="Arial" w:eastAsia="Arial" w:hAnsi="Arial"/>
              </w:rPr>
            </w:pPr>
            <w:r w:rsidDel="00000000" w:rsidR="00000000" w:rsidRPr="00000000">
              <w:rPr>
                <w:rFonts w:ascii="Arial" w:cs="Arial" w:eastAsia="Arial" w:hAnsi="Arial"/>
                <w:rtl w:val="0"/>
              </w:rPr>
              <w:t xml:space="preserve">100%</w:t>
            </w:r>
          </w:p>
        </w:tc>
        <w:tc>
          <w:tcPr/>
          <w:p w:rsidR="00000000" w:rsidDel="00000000" w:rsidP="00000000" w:rsidRDefault="00000000" w:rsidRPr="00000000" w14:paraId="0000006E">
            <w:pPr>
              <w:rPr>
                <w:rFonts w:ascii="Arial" w:cs="Arial" w:eastAsia="Arial" w:hAnsi="Arial"/>
              </w:rPr>
            </w:pPr>
            <w:r w:rsidDel="00000000" w:rsidR="00000000" w:rsidRPr="00000000">
              <w:rPr>
                <w:rFonts w:ascii="Arial" w:cs="Arial" w:eastAsia="Arial" w:hAnsi="Arial"/>
                <w:rtl w:val="0"/>
              </w:rPr>
              <w:t xml:space="preserve">100%</w:t>
            </w:r>
          </w:p>
        </w:tc>
        <w:tc>
          <w:tcPr/>
          <w:p w:rsidR="00000000" w:rsidDel="00000000" w:rsidP="00000000" w:rsidRDefault="00000000" w:rsidRPr="00000000" w14:paraId="0000006F">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6</w:t>
            </w:r>
          </w:p>
        </w:tc>
        <w:tc>
          <w:tcPr>
            <w:shd w:fill="ffffff" w:val="clear"/>
          </w:tcPr>
          <w:p w:rsidR="00000000" w:rsidDel="00000000" w:rsidP="00000000" w:rsidRDefault="00000000" w:rsidRPr="00000000" w14:paraId="00000071">
            <w:pPr>
              <w:spacing w:after="30" w:lineRule="auto"/>
              <w:rPr>
                <w:rFonts w:ascii="Arial" w:cs="Arial" w:eastAsia="Arial" w:hAnsi="Arial"/>
              </w:rPr>
            </w:pPr>
            <w:r w:rsidDel="00000000" w:rsidR="00000000" w:rsidRPr="00000000">
              <w:rPr>
                <w:rFonts w:ascii="Arial" w:cs="Arial" w:eastAsia="Arial" w:hAnsi="Arial"/>
                <w:b w:val="1"/>
                <w:rtl w:val="0"/>
              </w:rPr>
              <w:t xml:space="preserve">Complaint Resolution</w:t>
            </w:r>
            <w:r w:rsidDel="00000000" w:rsidR="00000000" w:rsidRPr="00000000">
              <w:rPr>
                <w:rFonts w:ascii="Arial" w:cs="Arial" w:eastAsia="Arial" w:hAnsi="Arial"/>
                <w:rtl w:val="0"/>
              </w:rPr>
              <w:t xml:space="preserve"> </w:t>
            </w:r>
          </w:p>
          <w:p w:rsidR="00000000" w:rsidDel="00000000" w:rsidP="00000000" w:rsidRDefault="00000000" w:rsidRPr="00000000" w14:paraId="00000072">
            <w:pPr>
              <w:spacing w:after="30" w:lineRule="auto"/>
              <w:rPr>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Percentage of</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Complaints raised and recorded in the Complaints Register during the Reporting Period</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relating to the Services provided by</w:t>
            </w:r>
            <w:r w:rsidDel="00000000" w:rsidR="00000000" w:rsidRPr="00000000">
              <w:rPr>
                <w:rFonts w:ascii="Arial" w:cs="Arial" w:eastAsia="Arial" w:hAnsi="Arial"/>
                <w:b w:val="1"/>
                <w:color w:val="4472c4"/>
                <w:rtl w:val="0"/>
              </w:rPr>
              <w:t xml:space="preserve"> </w:t>
            </w:r>
            <w:r w:rsidDel="00000000" w:rsidR="00000000" w:rsidRPr="00000000">
              <w:rPr>
                <w:rFonts w:ascii="Arial" w:cs="Arial" w:eastAsia="Arial" w:hAnsi="Arial"/>
                <w:rtl w:val="0"/>
              </w:rPr>
              <w:t xml:space="preserve">(or the conduct of) the THW where a resolution (satisfactory to the Contracting Authority, acting reasonably) is achieved within the timescales set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out in paragraph 17.2.8 of the Statement of Requirements.  </w:t>
            </w:r>
          </w:p>
          <w:p w:rsidR="00000000" w:rsidDel="00000000" w:rsidP="00000000" w:rsidRDefault="00000000" w:rsidRPr="00000000" w14:paraId="00000074">
            <w:pPr>
              <w:rPr>
                <w:rFonts w:ascii="Arial" w:cs="Arial" w:eastAsia="Arial" w:hAnsi="Arial"/>
              </w:rPr>
            </w:pPr>
            <w:r w:rsidDel="00000000" w:rsidR="00000000" w:rsidRPr="00000000">
              <w:rPr>
                <w:rtl w:val="0"/>
              </w:rPr>
            </w:r>
          </w:p>
        </w:tc>
        <w:tc>
          <w:tcPr/>
          <w:p w:rsidR="00000000" w:rsidDel="00000000" w:rsidP="00000000" w:rsidRDefault="00000000" w:rsidRPr="00000000" w14:paraId="00000075">
            <w:pPr>
              <w:rPr>
                <w:rFonts w:ascii="Arial" w:cs="Arial" w:eastAsia="Arial" w:hAnsi="Arial"/>
              </w:rPr>
            </w:pPr>
            <w:r w:rsidDel="00000000" w:rsidR="00000000" w:rsidRPr="00000000">
              <w:rPr>
                <w:rFonts w:ascii="Arial" w:cs="Arial" w:eastAsia="Arial" w:hAnsi="Arial"/>
                <w:rtl w:val="0"/>
              </w:rPr>
              <w:t xml:space="preserve">100%</w:t>
            </w:r>
          </w:p>
        </w:tc>
        <w:tc>
          <w:tcPr/>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100%</w:t>
            </w:r>
          </w:p>
        </w:tc>
        <w:tc>
          <w:tcPr/>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100%</w:t>
            </w:r>
          </w:p>
        </w:tc>
        <w:tc>
          <w:tcPr/>
          <w:p w:rsidR="00000000" w:rsidDel="00000000" w:rsidP="00000000" w:rsidRDefault="00000000" w:rsidRPr="00000000" w14:paraId="00000078">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7</w:t>
            </w:r>
          </w:p>
        </w:tc>
        <w:tc>
          <w:tcPr/>
          <w:p w:rsidR="00000000" w:rsidDel="00000000" w:rsidP="00000000" w:rsidRDefault="00000000" w:rsidRPr="00000000" w14:paraId="0000007A">
            <w:pPr>
              <w:spacing w:after="160" w:line="259" w:lineRule="auto"/>
              <w:rPr>
                <w:rFonts w:ascii="Arial" w:cs="Arial" w:eastAsia="Arial" w:hAnsi="Arial"/>
                <w:sz w:val="22"/>
                <w:szCs w:val="22"/>
              </w:rPr>
            </w:pPr>
            <w:r w:rsidDel="00000000" w:rsidR="00000000" w:rsidRPr="00000000">
              <w:rPr>
                <w:rFonts w:ascii="Arial" w:cs="Arial" w:eastAsia="Arial" w:hAnsi="Arial"/>
                <w:b w:val="1"/>
                <w:rtl w:val="0"/>
              </w:rPr>
              <w:t xml:space="preserve">Number of Placement Hours completed</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7B">
            <w:pPr>
              <w:rPr>
                <w:rFonts w:ascii="Arial" w:cs="Arial" w:eastAsia="Arial" w:hAnsi="Arial"/>
              </w:rPr>
            </w:pPr>
            <w:r w:rsidDel="00000000" w:rsidR="00000000" w:rsidRPr="00000000">
              <w:rPr>
                <w:rFonts w:ascii="Arial" w:cs="Arial" w:eastAsia="Arial" w:hAnsi="Arial"/>
                <w:rtl w:val="0"/>
              </w:rPr>
              <w:t xml:space="preserve">Percentage of expected Placement hours completed during each Reporting Period. </w:t>
            </w:r>
          </w:p>
          <w:p w:rsidR="00000000" w:rsidDel="00000000" w:rsidP="00000000" w:rsidRDefault="00000000" w:rsidRPr="00000000" w14:paraId="0000007C">
            <w:pPr>
              <w:rPr>
                <w:rFonts w:ascii="Arial" w:cs="Arial" w:eastAsia="Arial" w:hAnsi="Arial"/>
              </w:rPr>
            </w:pPr>
            <w:r w:rsidDel="00000000" w:rsidR="00000000" w:rsidRPr="00000000">
              <w:rPr>
                <w:rtl w:val="0"/>
              </w:rPr>
            </w:r>
          </w:p>
          <w:p w:rsidR="00000000" w:rsidDel="00000000" w:rsidP="00000000" w:rsidRDefault="00000000" w:rsidRPr="00000000" w14:paraId="0000007D">
            <w:pPr>
              <w:spacing w:after="160" w:line="259" w:lineRule="auto"/>
              <w:rPr>
                <w:rFonts w:ascii="Arial" w:cs="Arial" w:eastAsia="Arial" w:hAnsi="Arial"/>
              </w:rPr>
            </w:pPr>
            <w:r w:rsidDel="00000000" w:rsidR="00000000" w:rsidRPr="00000000">
              <w:rPr>
                <w:rFonts w:ascii="Arial" w:cs="Arial" w:eastAsia="Arial" w:hAnsi="Arial"/>
                <w:rtl w:val="0"/>
              </w:rPr>
              <w:t xml:space="preserve">Percentage of hours during each Reporting Period requested by the Contracting Authority within a Placed Demand Order, that are filled by a THW who is compliant with the requirements of the Demand Order and for whom the Supplier has undertaken all Compliance Checks.</w:t>
            </w:r>
          </w:p>
          <w:p w:rsidR="00000000" w:rsidDel="00000000" w:rsidP="00000000" w:rsidRDefault="00000000" w:rsidRPr="00000000" w14:paraId="0000007E">
            <w:pPr>
              <w:spacing w:after="160" w:line="259"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7F">
            <w:pPr>
              <w:spacing w:after="160" w:line="259" w:lineRule="auto"/>
              <w:rPr>
                <w:rFonts w:ascii="Arial" w:cs="Arial" w:eastAsia="Arial" w:hAnsi="Arial"/>
              </w:rPr>
            </w:pPr>
            <w:r w:rsidDel="00000000" w:rsidR="00000000" w:rsidRPr="00000000">
              <w:rPr>
                <w:rFonts w:ascii="Arial" w:cs="Arial" w:eastAsia="Arial" w:hAnsi="Arial"/>
                <w:rtl w:val="0"/>
              </w:rPr>
              <w:t xml:space="preserve">For the avoidance of doubt, performance shall be reported within the Reporting Period that the hours were requested within the Placed Demand Order.  </w:t>
            </w:r>
          </w:p>
          <w:p w:rsidR="00000000" w:rsidDel="00000000" w:rsidP="00000000" w:rsidRDefault="00000000" w:rsidRPr="00000000" w14:paraId="00000080">
            <w:pPr>
              <w:spacing w:after="160" w:line="259" w:lineRule="auto"/>
              <w:rPr>
                <w:rFonts w:ascii="Arial" w:cs="Arial" w:eastAsia="Arial" w:hAnsi="Arial"/>
              </w:rPr>
            </w:pPr>
            <w:r w:rsidDel="00000000" w:rsidR="00000000" w:rsidRPr="00000000">
              <w:rPr>
                <w:rFonts w:ascii="Arial" w:cs="Arial" w:eastAsia="Arial" w:hAnsi="Arial"/>
                <w:rtl w:val="0"/>
              </w:rPr>
              <w:t xml:space="preserve">e.g. If a Placed Demand Order requires hours to be filled across Reporting Periods 1, 2 and 3, performance will be reported within the MI Reporting for Reporting Periods 1, 2 and 3. </w:t>
            </w:r>
          </w:p>
          <w:p w:rsidR="00000000" w:rsidDel="00000000" w:rsidP="00000000" w:rsidRDefault="00000000" w:rsidRPr="00000000" w14:paraId="00000081">
            <w:pPr>
              <w:rPr>
                <w:rFonts w:ascii="Arial" w:cs="Arial" w:eastAsia="Arial" w:hAnsi="Arial"/>
                <w:b w:val="1"/>
              </w:rPr>
            </w:pPr>
            <w:r w:rsidDel="00000000" w:rsidR="00000000" w:rsidRPr="00000000">
              <w:rPr>
                <w:rtl w:val="0"/>
              </w:rPr>
            </w:r>
          </w:p>
        </w:tc>
        <w:tc>
          <w:tcPr/>
          <w:p w:rsidR="00000000" w:rsidDel="00000000" w:rsidP="00000000" w:rsidRDefault="00000000" w:rsidRPr="00000000" w14:paraId="00000082">
            <w:pPr>
              <w:rPr>
                <w:rFonts w:ascii="Arial" w:cs="Arial" w:eastAsia="Arial" w:hAnsi="Arial"/>
              </w:rPr>
            </w:pPr>
            <w:r w:rsidDel="00000000" w:rsidR="00000000" w:rsidRPr="00000000">
              <w:rPr>
                <w:rFonts w:ascii="Arial" w:cs="Arial" w:eastAsia="Arial" w:hAnsi="Arial"/>
                <w:rtl w:val="0"/>
              </w:rPr>
              <w:t xml:space="preserve">95%</w:t>
            </w:r>
          </w:p>
        </w:tc>
        <w:tc>
          <w:tcPr/>
          <w:p w:rsidR="00000000" w:rsidDel="00000000" w:rsidP="00000000" w:rsidRDefault="00000000" w:rsidRPr="00000000" w14:paraId="00000083">
            <w:pPr>
              <w:rPr>
                <w:rFonts w:ascii="Arial" w:cs="Arial" w:eastAsia="Arial" w:hAnsi="Arial"/>
              </w:rPr>
            </w:pPr>
            <w:r w:rsidDel="00000000" w:rsidR="00000000" w:rsidRPr="00000000">
              <w:rPr>
                <w:rFonts w:ascii="Arial" w:cs="Arial" w:eastAsia="Arial" w:hAnsi="Arial"/>
                <w:rtl w:val="0"/>
              </w:rPr>
              <w:t xml:space="preserve">95%</w:t>
            </w:r>
          </w:p>
        </w:tc>
        <w:tc>
          <w:tcPr/>
          <w:p w:rsidR="00000000" w:rsidDel="00000000" w:rsidP="00000000" w:rsidRDefault="00000000" w:rsidRPr="00000000" w14:paraId="00000084">
            <w:pPr>
              <w:rPr>
                <w:rFonts w:ascii="Arial" w:cs="Arial" w:eastAsia="Arial" w:hAnsi="Arial"/>
              </w:rPr>
            </w:pPr>
            <w:r w:rsidDel="00000000" w:rsidR="00000000" w:rsidRPr="00000000">
              <w:rPr>
                <w:rFonts w:ascii="Arial" w:cs="Arial" w:eastAsia="Arial" w:hAnsi="Arial"/>
                <w:rtl w:val="0"/>
              </w:rPr>
              <w:t xml:space="preserve">95%</w:t>
            </w:r>
          </w:p>
        </w:tc>
        <w:tc>
          <w:tcPr/>
          <w:p w:rsidR="00000000" w:rsidDel="00000000" w:rsidP="00000000" w:rsidRDefault="00000000" w:rsidRPr="00000000" w14:paraId="00000085">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6">
            <w:pPr>
              <w:rPr>
                <w:rFonts w:ascii="Arial" w:cs="Arial" w:eastAsia="Arial" w:hAnsi="Arial"/>
              </w:rPr>
            </w:pPr>
            <w:r w:rsidDel="00000000" w:rsidR="00000000" w:rsidRPr="00000000">
              <w:rPr>
                <w:rFonts w:ascii="Arial" w:cs="Arial" w:eastAsia="Arial" w:hAnsi="Arial"/>
                <w:rtl w:val="0"/>
              </w:rPr>
              <w:t xml:space="preserve">8</w:t>
            </w:r>
          </w:p>
        </w:tc>
        <w:tc>
          <w:tcPr/>
          <w:p w:rsidR="00000000" w:rsidDel="00000000" w:rsidP="00000000" w:rsidRDefault="00000000" w:rsidRPr="00000000" w14:paraId="00000087">
            <w:pPr>
              <w:rPr>
                <w:rFonts w:ascii="Arial" w:cs="Arial" w:eastAsia="Arial" w:hAnsi="Arial"/>
                <w:b w:val="1"/>
              </w:rPr>
            </w:pPr>
            <w:r w:rsidDel="00000000" w:rsidR="00000000" w:rsidRPr="00000000">
              <w:rPr>
                <w:rFonts w:ascii="Arial" w:cs="Arial" w:eastAsia="Arial" w:hAnsi="Arial"/>
                <w:b w:val="1"/>
                <w:rtl w:val="0"/>
              </w:rPr>
              <w:t xml:space="preserve">Social Value – To be inserted at Contract Award.</w:t>
            </w:r>
          </w:p>
        </w:tc>
        <w:tc>
          <w:tcPr/>
          <w:p w:rsidR="00000000" w:rsidDel="00000000" w:rsidP="00000000" w:rsidRDefault="00000000" w:rsidRPr="00000000" w14:paraId="00000088">
            <w:pPr>
              <w:rPr>
                <w:rFonts w:ascii="Arial" w:cs="Arial" w:eastAsia="Arial" w:hAnsi="Arial"/>
              </w:rPr>
            </w:pPr>
            <w:r w:rsidDel="00000000" w:rsidR="00000000" w:rsidRPr="00000000">
              <w:rPr>
                <w:rtl w:val="0"/>
              </w:rPr>
            </w:r>
          </w:p>
        </w:tc>
        <w:tc>
          <w:tcPr/>
          <w:p w:rsidR="00000000" w:rsidDel="00000000" w:rsidP="00000000" w:rsidRDefault="00000000" w:rsidRPr="00000000" w14:paraId="00000089">
            <w:pPr>
              <w:rPr>
                <w:rFonts w:ascii="Arial" w:cs="Arial" w:eastAsia="Arial" w:hAnsi="Arial"/>
              </w:rPr>
            </w:pPr>
            <w:r w:rsidDel="00000000" w:rsidR="00000000" w:rsidRPr="00000000">
              <w:rPr>
                <w:rtl w:val="0"/>
              </w:rPr>
            </w:r>
          </w:p>
        </w:tc>
        <w:tc>
          <w:tcPr/>
          <w:p w:rsidR="00000000" w:rsidDel="00000000" w:rsidP="00000000" w:rsidRDefault="00000000" w:rsidRPr="00000000" w14:paraId="0000008A">
            <w:pPr>
              <w:rPr>
                <w:rFonts w:ascii="Arial" w:cs="Arial" w:eastAsia="Arial" w:hAnsi="Arial"/>
              </w:rPr>
            </w:pPr>
            <w:r w:rsidDel="00000000" w:rsidR="00000000" w:rsidRPr="00000000">
              <w:rPr>
                <w:rtl w:val="0"/>
              </w:rPr>
            </w:r>
          </w:p>
        </w:tc>
        <w:tc>
          <w:tcPr/>
          <w:p w:rsidR="00000000" w:rsidDel="00000000" w:rsidP="00000000" w:rsidRDefault="00000000" w:rsidRPr="00000000" w14:paraId="0000008B">
            <w:pPr>
              <w:rPr>
                <w:rFonts w:ascii="Arial" w:cs="Arial" w:eastAsia="Arial" w:hAnsi="Arial"/>
              </w:rPr>
            </w:pPr>
            <w:r w:rsidDel="00000000" w:rsidR="00000000" w:rsidRPr="00000000">
              <w:rPr>
                <w:rtl w:val="0"/>
              </w:rPr>
            </w:r>
          </w:p>
        </w:tc>
      </w:tr>
    </w:tb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singl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The maximum Service Credit that can be applied to each of the Service Levels that attract Service Credits is 5% capped to a maximum total of 7% of the monthly Supplier Hourly Transaction Fee invoice.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2et92p0" w:id="4"/>
      <w:bookmarkEnd w:id="4"/>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Calculation Formula Examples:</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Example 1</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Contractor A for the Reporting Period 9 achieves the following Service Levels: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Level 1: 74%</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Level 2: 76%</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Hourly Transaction Fee invoice for Reporting Period 9 is £100,000. The Contractor shall abate their invoice for Reporting Period 9 as follows:</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Level 1: Target 85%; Achieved: 74% - Service Credit Deduction is 1% for each 1% under the specified performance measure up to a maximum of 5%. Total: 5% deduction</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Level 2: Target 80%; Achieved: 76% - Service Credit Deduction is 1% for each 1% under the specified performance measure up to a maximum of 5%. Total: 4% deduction</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Level deduction: 5% + 4%=9%.</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Total Service Level Deduction: Capped at 7%. Therefore, the calculation is as follows:</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£100,000 x 7% = £7,000 to be deducted from Reporting Period 9 invoice.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Example 2</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Contractor A for the Reporting Period 9 achieves the following Service Levels: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Level 1: 86%</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Level 2: 65%</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Hourly Transaction Fee invoice for Reporting Period 9 is £100,000. The Contractor shall abate their invoice for Reporting Period 9 as follows:</w:t>
      </w:r>
    </w:p>
    <w:p w:rsidR="00000000" w:rsidDel="00000000" w:rsidP="00000000" w:rsidRDefault="00000000" w:rsidRPr="00000000" w14:paraId="000000A5">
      <w:pPr>
        <w:keepNext w:val="1"/>
        <w:spacing w:after="60" w:before="240" w:lineRule="auto"/>
        <w:rPr>
          <w:rFonts w:ascii="Arial" w:cs="Arial" w:eastAsia="Arial" w:hAnsi="Arial"/>
        </w:rPr>
      </w:pPr>
      <w:r w:rsidDel="00000000" w:rsidR="00000000" w:rsidRPr="00000000">
        <w:rPr>
          <w:rFonts w:ascii="Arial" w:cs="Arial" w:eastAsia="Arial" w:hAnsi="Arial"/>
          <w:rtl w:val="0"/>
        </w:rPr>
        <w:t xml:space="preserve">Service Level 1: Target 85%; Achieved: 86% - No Service Credit Deduction as Service Level achieved.</w:t>
      </w:r>
    </w:p>
    <w:p w:rsidR="00000000" w:rsidDel="00000000" w:rsidP="00000000" w:rsidRDefault="00000000" w:rsidRPr="00000000" w14:paraId="000000A6">
      <w:pPr>
        <w:keepNext w:val="1"/>
        <w:spacing w:after="60" w:before="240" w:lineRule="auto"/>
        <w:rPr>
          <w:rFonts w:ascii="Arial" w:cs="Arial" w:eastAsia="Arial" w:hAnsi="Arial"/>
        </w:rPr>
      </w:pPr>
      <w:r w:rsidDel="00000000" w:rsidR="00000000" w:rsidRPr="00000000">
        <w:rPr>
          <w:rFonts w:ascii="Arial" w:cs="Arial" w:eastAsia="Arial" w:hAnsi="Arial"/>
          <w:rtl w:val="0"/>
        </w:rPr>
        <w:t xml:space="preserve">Service Level 2: Target 80%; Achieved: 65% - Service Credit Deduction is 1% for each 1% under the specified performance measure up to a maximum of 5%. Total: 5% deduction</w:t>
      </w:r>
    </w:p>
    <w:p w:rsidR="00000000" w:rsidDel="00000000" w:rsidP="00000000" w:rsidRDefault="00000000" w:rsidRPr="00000000" w14:paraId="000000A7">
      <w:pPr>
        <w:keepNext w:val="1"/>
        <w:spacing w:after="60" w:before="240" w:lineRule="auto"/>
        <w:rPr>
          <w:rFonts w:ascii="Arial" w:cs="Arial" w:eastAsia="Arial" w:hAnsi="Arial"/>
        </w:rPr>
      </w:pPr>
      <w:r w:rsidDel="00000000" w:rsidR="00000000" w:rsidRPr="00000000">
        <w:rPr>
          <w:rFonts w:ascii="Arial" w:cs="Arial" w:eastAsia="Arial" w:hAnsi="Arial"/>
          <w:rtl w:val="0"/>
        </w:rPr>
        <w:t xml:space="preserve">Service Level deduction: 5%.</w:t>
      </w:r>
    </w:p>
    <w:p w:rsidR="00000000" w:rsidDel="00000000" w:rsidP="00000000" w:rsidRDefault="00000000" w:rsidRPr="00000000" w14:paraId="000000A8">
      <w:pPr>
        <w:keepNext w:val="1"/>
        <w:spacing w:after="60" w:before="240" w:lineRule="auto"/>
        <w:rPr>
          <w:rFonts w:ascii="Arial" w:cs="Arial" w:eastAsia="Arial" w:hAnsi="Arial"/>
        </w:rPr>
      </w:pPr>
      <w:r w:rsidDel="00000000" w:rsidR="00000000" w:rsidRPr="00000000">
        <w:rPr>
          <w:rFonts w:ascii="Arial" w:cs="Arial" w:eastAsia="Arial" w:hAnsi="Arial"/>
          <w:rtl w:val="0"/>
        </w:rPr>
        <w:t xml:space="preserve">Total Service Level Deduction: Therefore, the calculation is as follows:</w:t>
      </w:r>
    </w:p>
    <w:p w:rsidR="00000000" w:rsidDel="00000000" w:rsidP="00000000" w:rsidRDefault="00000000" w:rsidRPr="00000000" w14:paraId="000000A9">
      <w:pPr>
        <w:keepNext w:val="1"/>
        <w:spacing w:after="60" w:before="240" w:lineRule="auto"/>
        <w:rPr>
          <w:rFonts w:ascii="Arial" w:cs="Arial" w:eastAsia="Arial" w:hAnsi="Arial"/>
        </w:rPr>
      </w:pPr>
      <w:r w:rsidDel="00000000" w:rsidR="00000000" w:rsidRPr="00000000">
        <w:rPr>
          <w:rFonts w:ascii="Arial" w:cs="Arial" w:eastAsia="Arial" w:hAnsi="Arial"/>
          <w:rtl w:val="0"/>
        </w:rPr>
        <w:t xml:space="preserve">£100,000 x 5% = £5,000 to be deducted from Reporting Period 9 invoice.</w:t>
      </w:r>
    </w:p>
    <w:p w:rsidR="00000000" w:rsidDel="00000000" w:rsidP="00000000" w:rsidRDefault="00000000" w:rsidRPr="00000000" w14:paraId="000000AA">
      <w:pPr>
        <w:keepNext w:val="1"/>
        <w:spacing w:after="6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0AB">
      <w:pPr>
        <w:keepNext w:val="1"/>
        <w:spacing w:after="60" w:before="240" w:lineRule="auto"/>
        <w:rPr>
          <w:rFonts w:ascii="Arial" w:cs="Arial" w:eastAsia="Arial" w:hAnsi="Arial"/>
          <w:b w:val="1"/>
        </w:rPr>
      </w:pPr>
      <w:r w:rsidDel="00000000" w:rsidR="00000000" w:rsidRPr="00000000">
        <w:rPr>
          <w:rFonts w:ascii="Arial" w:cs="Arial" w:eastAsia="Arial" w:hAnsi="Arial"/>
          <w:b w:val="1"/>
          <w:rtl w:val="0"/>
        </w:rPr>
        <w:t xml:space="preserve">Example 3</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Contractor A for the Reporting Period 9 achieves the following Service Levels: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Level 1: 82%</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Level 2: 78%</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Hourly Transaction Fee invoice for Reporting Period 9 is £100,000. The Contractor shall abate their invoice for Reporting Period 9 as follows:</w:t>
      </w:r>
    </w:p>
    <w:p w:rsidR="00000000" w:rsidDel="00000000" w:rsidP="00000000" w:rsidRDefault="00000000" w:rsidRPr="00000000" w14:paraId="000000B1">
      <w:pPr>
        <w:keepNext w:val="1"/>
        <w:spacing w:after="60" w:before="240" w:lineRule="auto"/>
        <w:rPr>
          <w:rFonts w:ascii="Arial" w:cs="Arial" w:eastAsia="Arial" w:hAnsi="Arial"/>
        </w:rPr>
      </w:pPr>
      <w:r w:rsidDel="00000000" w:rsidR="00000000" w:rsidRPr="00000000">
        <w:rPr>
          <w:rFonts w:ascii="Arial" w:cs="Arial" w:eastAsia="Arial" w:hAnsi="Arial"/>
          <w:rtl w:val="0"/>
        </w:rPr>
        <w:t xml:space="preserve">Service Level 1: Target 85%; Achieved: 82% - Service Credit Deduction is 1% for each 1% under the specified performance measure up to a maximum of 5%. Total: 3% deduction</w:t>
      </w:r>
    </w:p>
    <w:p w:rsidR="00000000" w:rsidDel="00000000" w:rsidP="00000000" w:rsidRDefault="00000000" w:rsidRPr="00000000" w14:paraId="000000B2">
      <w:pPr>
        <w:keepNext w:val="1"/>
        <w:spacing w:after="60" w:before="240" w:lineRule="auto"/>
        <w:rPr>
          <w:rFonts w:ascii="Arial" w:cs="Arial" w:eastAsia="Arial" w:hAnsi="Arial"/>
        </w:rPr>
      </w:pPr>
      <w:r w:rsidDel="00000000" w:rsidR="00000000" w:rsidRPr="00000000">
        <w:rPr>
          <w:rFonts w:ascii="Arial" w:cs="Arial" w:eastAsia="Arial" w:hAnsi="Arial"/>
          <w:rtl w:val="0"/>
        </w:rPr>
        <w:t xml:space="preserve">Service Level 2: Target 80%; Achieved: 78% - Service Credit Deduction is 1% for each 1% under the specified performance measure up to a maximum of 5%. Total: 2% deduction</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Level deduction: 3% + 2%=5%.</w:t>
      </w:r>
    </w:p>
    <w:p w:rsidR="00000000" w:rsidDel="00000000" w:rsidP="00000000" w:rsidRDefault="00000000" w:rsidRPr="00000000" w14:paraId="000000B4">
      <w:pPr>
        <w:keepNext w:val="1"/>
        <w:spacing w:after="60" w:before="240" w:lineRule="auto"/>
        <w:rPr>
          <w:rFonts w:ascii="Arial" w:cs="Arial" w:eastAsia="Arial" w:hAnsi="Arial"/>
        </w:rPr>
      </w:pPr>
      <w:r w:rsidDel="00000000" w:rsidR="00000000" w:rsidRPr="00000000">
        <w:rPr>
          <w:rFonts w:ascii="Arial" w:cs="Arial" w:eastAsia="Arial" w:hAnsi="Arial"/>
          <w:rtl w:val="0"/>
        </w:rPr>
        <w:t xml:space="preserve">Total Service Level Deduction: 5%. Therefore, the calculation is as follows:</w:t>
      </w:r>
    </w:p>
    <w:p w:rsidR="00000000" w:rsidDel="00000000" w:rsidP="00000000" w:rsidRDefault="00000000" w:rsidRPr="00000000" w14:paraId="000000B5">
      <w:pPr>
        <w:keepNext w:val="1"/>
        <w:spacing w:after="60" w:before="240" w:lineRule="auto"/>
        <w:rPr>
          <w:rFonts w:ascii="Arial" w:cs="Arial" w:eastAsia="Arial" w:hAnsi="Arial"/>
        </w:rPr>
      </w:pPr>
      <w:r w:rsidDel="00000000" w:rsidR="00000000" w:rsidRPr="00000000">
        <w:rPr>
          <w:rFonts w:ascii="Arial" w:cs="Arial" w:eastAsia="Arial" w:hAnsi="Arial"/>
          <w:rtl w:val="0"/>
        </w:rPr>
        <w:t xml:space="preserve">£100,000 x 5% = £5,000 to be deducted from Reporting Period 9 invoice.</w:t>
      </w:r>
    </w:p>
    <w:p w:rsidR="00000000" w:rsidDel="00000000" w:rsidP="00000000" w:rsidRDefault="00000000" w:rsidRPr="00000000" w14:paraId="000000B6">
      <w:pPr>
        <w:keepNext w:val="1"/>
        <w:spacing w:after="6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0B7">
      <w:pPr>
        <w:keepNext w:val="1"/>
        <w:spacing w:after="6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B: Performance Monitoring </w:t>
      </w:r>
    </w:p>
    <w:p w:rsidR="00000000" w:rsidDel="00000000" w:rsidP="00000000" w:rsidRDefault="00000000" w:rsidRPr="00000000" w14:paraId="000000C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C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09"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Contracting Authority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C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09"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Contracting Authority with performance monitoring reports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1.2.1   for each Service Level, the actual performance achieved over the Service Level for the relevant Service Period;</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1.2.2   a summary of all failures to achieve Service Levels that occurred during that Service Period;</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1.2.3   details of any Critical Service Level Failures;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1.2.4   for any repeat failures, actions taken to resolve the underlying cause and prevent recurrence;</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1.2.5   the Service Credits to be applied in respect of the relevant period indicating the failures and Service Levels to which the Service Credits relate;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1.2.6   such other details as the Contracting Authority may reasonably require from time to time.</w:t>
      </w:r>
    </w:p>
    <w:p w:rsidR="00000000" w:rsidDel="00000000" w:rsidP="00000000" w:rsidRDefault="00000000" w:rsidRPr="00000000" w14:paraId="000000C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851"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("Performance Review Meetings") on a Monthly basis. The Performance Review Meetings will be the forum for the review by the Supplier and the Contracting Authority of the Performance Monitoring Reports.  </w:t>
      </w:r>
    </w:p>
    <w:p w:rsidR="00000000" w:rsidDel="00000000" w:rsidP="00000000" w:rsidRDefault="00000000" w:rsidRPr="00000000" w14:paraId="000000C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851"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agenda for “Performance Review Meetings” shall be agreed between the Parties during the Mobilisation Period. </w:t>
      </w:r>
    </w:p>
    <w:p w:rsidR="00000000" w:rsidDel="00000000" w:rsidP="00000000" w:rsidRDefault="00000000" w:rsidRPr="00000000" w14:paraId="000000C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851"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Review Meetings shall:</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   be attended by the Supplier's Representative and the Contracting Authority’s Representative; and</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   be fully minuted by the Supplier and the minutes will be circulated by the Supplier to all attendees at the relevant meeting and also to the Contracting Authority’s Representative and any other recipients agreed at the relevant meeting. The minutes will be agreed between the Parties within 10 working days of the meeting date. </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Contracting Authority such documentation as the Contracting Authority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Contracting Authority may undertake satisfaction surveys in respect of the Supplier’s provision of the Deliverables. The Contracting Authority shall be entitled to notify the Supplier of any aspects of their performance of the provision of the Deliverables which the responses to the Satisfaction surveys reasonably suggest are not in accordance with this Call-Off contract. </w:t>
      </w:r>
      <w:r w:rsidDel="00000000" w:rsidR="00000000" w:rsidRPr="00000000">
        <w:rPr>
          <w:rtl w:val="0"/>
        </w:rPr>
      </w:r>
    </w:p>
    <w:p w:rsidR="00000000" w:rsidDel="00000000" w:rsidP="00000000" w:rsidRDefault="00000000" w:rsidRPr="00000000" w14:paraId="000000D0">
      <w:pPr>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1" name=""/>
              <a:graphic>
                <a:graphicData uri="http://schemas.microsoft.com/office/word/2010/wordprocessingShape">
                  <wps:wsp>
                    <wps:cNvSpPr/>
                    <wps:cNvPr id="5" name="Shape 5"/>
                    <wps:spPr>
                      <a:xfrm>
                        <a:off x="5124068" y="3558068"/>
                        <a:ext cx="443865" cy="44386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OFFICIAL-SENSITIVE COMMERCIAL</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1" name="image4.png"/>
              <a:graphic>
                <a:graphicData uri="http://schemas.openxmlformats.org/drawingml/2006/picture">
                  <pic:pic>
                    <pic:nvPicPr>
                      <pic:cNvPr descr="OFFICIAL-SENSITIVE COMMERCIAL" id="0" name="image4.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3" name=""/>
              <a:graphic>
                <a:graphicData uri="http://schemas.microsoft.com/office/word/2010/wordprocessingShape">
                  <wps:wsp>
                    <wps:cNvSpPr/>
                    <wps:cNvPr id="7" name="Shape 7"/>
                    <wps:spPr>
                      <a:xfrm>
                        <a:off x="5124068" y="3558068"/>
                        <a:ext cx="443865" cy="44386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3" name="image6.png"/>
              <a:graphic>
                <a:graphicData uri="http://schemas.openxmlformats.org/drawingml/2006/picture">
                  <pic:pic>
                    <pic:nvPicPr>
                      <pic:cNvPr descr="OFFICIAL-SENSITIVE COMMERCIAL" id="0" name="image6.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tabs>
        <w:tab w:val="center" w:leader="none" w:pos="4513"/>
        <w:tab w:val="right" w:leader="none" w:pos="9026"/>
      </w:tabs>
      <w:spacing w:after="0" w:line="240" w:lineRule="auto"/>
      <w:jc w:val="both"/>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39" name=""/>
              <a:graphic>
                <a:graphicData uri="http://schemas.microsoft.com/office/word/2010/wordprocessingShape">
                  <wps:wsp>
                    <wps:cNvSpPr/>
                    <wps:cNvPr id="3" name="Shape 3"/>
                    <wps:spPr>
                      <a:xfrm>
                        <a:off x="5124068" y="3558068"/>
                        <a:ext cx="443865" cy="44386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OFFICIAL-SENSITIVE COMMERCIAL</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39" name="image2.png"/>
              <a:graphic>
                <a:graphicData uri="http://schemas.openxmlformats.org/drawingml/2006/picture">
                  <pic:pic>
                    <pic:nvPicPr>
                      <pic:cNvPr descr="OFFICIAL-SENSITIVE COMMERCIAL" id="0" name="image2.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2" name=""/>
              <a:graphic>
                <a:graphicData uri="http://schemas.microsoft.com/office/word/2010/wordprocessingShape">
                  <wps:wsp>
                    <wps:cNvSpPr/>
                    <wps:cNvPr id="6" name="Shape 6"/>
                    <wps:spPr>
                      <a:xfrm>
                        <a:off x="5124068" y="3558068"/>
                        <a:ext cx="443865" cy="44386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OFFICIAL-SENSITIVE COMMERCIAL</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2" name="image5.png"/>
              <a:graphic>
                <a:graphicData uri="http://schemas.openxmlformats.org/drawingml/2006/picture">
                  <pic:pic>
                    <pic:nvPicPr>
                      <pic:cNvPr descr="OFFICIAL-SENSITIVE COMMERCIAL" id="0" name="image5.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5812"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38" name=""/>
              <a:graphic>
                <a:graphicData uri="http://schemas.microsoft.com/office/word/2010/wordprocessingShape">
                  <wps:wsp>
                    <wps:cNvSpPr/>
                    <wps:cNvPr id="2" name="Shape 2"/>
                    <wps:spPr>
                      <a:xfrm>
                        <a:off x="5124068" y="3558068"/>
                        <a:ext cx="443865" cy="44386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38" name="image1.png"/>
              <a:graphic>
                <a:graphicData uri="http://schemas.openxmlformats.org/drawingml/2006/picture">
                  <pic:pic>
                    <pic:nvPicPr>
                      <pic:cNvPr descr="OFFICIAL-SENSITIVE COMMERCIAL" id="0" name="image1.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0" name=""/>
              <a:graphic>
                <a:graphicData uri="http://schemas.microsoft.com/office/word/2010/wordprocessingShape">
                  <wps:wsp>
                    <wps:cNvSpPr/>
                    <wps:cNvPr id="4" name="Shape 4"/>
                    <wps:spPr>
                      <a:xfrm>
                        <a:off x="5124068" y="3558068"/>
                        <a:ext cx="443865" cy="44386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OFFICIAL-SENSITIVE COMMERCIAL</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2628900</wp:posOffset>
              </wp:positionH>
              <wp:positionV relativeFrom="paragraph">
                <wp:posOffset>0</wp:posOffset>
              </wp:positionV>
              <wp:extent cx="453390" cy="453390"/>
              <wp:effectExtent b="0" l="0" r="0" t="0"/>
              <wp:wrapSquare wrapText="bothSides" distB="0" distT="0" distL="0" distR="0"/>
              <wp:docPr descr="OFFICIAL-SENSITIVE COMMERCIAL" id="2140" name="image3.png"/>
              <a:graphic>
                <a:graphicData uri="http://schemas.openxmlformats.org/drawingml/2006/picture">
                  <pic:pic>
                    <pic:nvPicPr>
                      <pic:cNvPr descr="OFFICIAL-SENSITIVE COMMERCIAL" id="0" name="image3.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
      <w:lvlJc w:val="left"/>
      <w:pPr>
        <w:ind w:left="360" w:hanging="360"/>
      </w:pPr>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
      <w:lvlJc w:val="left"/>
      <w:pPr>
        <w:ind w:left="360" w:hanging="360"/>
      </w:pPr>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5">
    <w:lvl w:ilvl="0">
      <w:start w:val="2"/>
      <w:numFmt w:val="decimal"/>
      <w:lvlText w:val="%1"/>
      <w:lvlJc w:val="left"/>
      <w:pPr>
        <w:ind w:left="360" w:hanging="360"/>
      </w:pPr>
      <w:rPr/>
    </w:lvl>
    <w:lvl w:ilvl="1">
      <w:start w:val="1"/>
      <w:numFmt w:val="decimal"/>
      <w:lvlText w:val="%1.%2"/>
      <w:lvlJc w:val="left"/>
      <w:pPr>
        <w:ind w:left="644" w:hanging="359.99999999999994"/>
      </w:pPr>
      <w:rPr/>
    </w:lvl>
    <w:lvl w:ilvl="2">
      <w:start w:val="1"/>
      <w:numFmt w:val="decimal"/>
      <w:lvlText w:val="%1.%2.%3"/>
      <w:lvlJc w:val="left"/>
      <w:pPr>
        <w:ind w:left="1288" w:hanging="719.9999999999999"/>
      </w:pPr>
      <w:rPr/>
    </w:lvl>
    <w:lvl w:ilvl="3">
      <w:start w:val="1"/>
      <w:numFmt w:val="decimal"/>
      <w:lvlText w:val="%1.%2.%3.%4"/>
      <w:lvlJc w:val="left"/>
      <w:pPr>
        <w:ind w:left="1932" w:hanging="1080"/>
      </w:pPr>
      <w:rPr/>
    </w:lvl>
    <w:lvl w:ilvl="4">
      <w:start w:val="1"/>
      <w:numFmt w:val="decimal"/>
      <w:lvlText w:val="%1.%2.%3.%4.%5"/>
      <w:lvlJc w:val="left"/>
      <w:pPr>
        <w:ind w:left="2216" w:hanging="1080"/>
      </w:pPr>
      <w:rPr/>
    </w:lvl>
    <w:lvl w:ilvl="5">
      <w:start w:val="1"/>
      <w:numFmt w:val="decimal"/>
      <w:lvlText w:val="%1.%2.%3.%4.%5.%6"/>
      <w:lvlJc w:val="left"/>
      <w:pPr>
        <w:ind w:left="2860" w:hanging="1440"/>
      </w:pPr>
      <w:rPr/>
    </w:lvl>
    <w:lvl w:ilvl="6">
      <w:start w:val="1"/>
      <w:numFmt w:val="decimal"/>
      <w:lvlText w:val="%1.%2.%3.%4.%5.%6.%7"/>
      <w:lvlJc w:val="left"/>
      <w:pPr>
        <w:ind w:left="3144" w:hanging="1440.0000000000002"/>
      </w:pPr>
      <w:rPr/>
    </w:lvl>
    <w:lvl w:ilvl="7">
      <w:start w:val="1"/>
      <w:numFmt w:val="decimal"/>
      <w:lvlText w:val="%1.%2.%3.%4.%5.%6.%7.%8"/>
      <w:lvlJc w:val="left"/>
      <w:pPr>
        <w:ind w:left="3788" w:hanging="1800"/>
      </w:pPr>
      <w:rPr/>
    </w:lvl>
    <w:lvl w:ilvl="8">
      <w:start w:val="1"/>
      <w:numFmt w:val="decimal"/>
      <w:lvlText w:val="%1.%2.%3.%4.%5.%6.%7.%8.%9"/>
      <w:lvlJc w:val="left"/>
      <w:pPr>
        <w:ind w:left="4072" w:hanging="1800"/>
      </w:pPr>
      <w:rPr/>
    </w:lvl>
  </w:abstractNum>
  <w:abstractNum w:abstractNumId="6">
    <w:lvl w:ilvl="0">
      <w:start w:val="2"/>
      <w:numFmt w:val="decimal"/>
      <w:lvlText w:val="%1"/>
      <w:lvlJc w:val="left"/>
      <w:pPr>
        <w:ind w:left="360" w:hanging="360"/>
      </w:pPr>
      <w:rPr/>
    </w:lvl>
    <w:lvl w:ilvl="1">
      <w:start w:val="1"/>
      <w:numFmt w:val="decimal"/>
      <w:lvlText w:val="%1.%2"/>
      <w:lvlJc w:val="left"/>
      <w:pPr>
        <w:ind w:left="644" w:hanging="359.99999999999994"/>
      </w:pPr>
      <w:rPr/>
    </w:lvl>
    <w:lvl w:ilvl="2">
      <w:start w:val="1"/>
      <w:numFmt w:val="decimal"/>
      <w:lvlText w:val="%1.%2.%3"/>
      <w:lvlJc w:val="left"/>
      <w:pPr>
        <w:ind w:left="1288" w:hanging="719.9999999999999"/>
      </w:pPr>
      <w:rPr/>
    </w:lvl>
    <w:lvl w:ilvl="3">
      <w:start w:val="1"/>
      <w:numFmt w:val="decimal"/>
      <w:lvlText w:val="%1.%2.%3.%4"/>
      <w:lvlJc w:val="left"/>
      <w:pPr>
        <w:ind w:left="1932" w:hanging="1080"/>
      </w:pPr>
      <w:rPr/>
    </w:lvl>
    <w:lvl w:ilvl="4">
      <w:start w:val="1"/>
      <w:numFmt w:val="decimal"/>
      <w:lvlText w:val="%1.%2.%3.%4.%5"/>
      <w:lvlJc w:val="left"/>
      <w:pPr>
        <w:ind w:left="2216" w:hanging="1080"/>
      </w:pPr>
      <w:rPr/>
    </w:lvl>
    <w:lvl w:ilvl="5">
      <w:start w:val="1"/>
      <w:numFmt w:val="decimal"/>
      <w:lvlText w:val="%1.%2.%3.%4.%5.%6"/>
      <w:lvlJc w:val="left"/>
      <w:pPr>
        <w:ind w:left="2860" w:hanging="1440"/>
      </w:pPr>
      <w:rPr/>
    </w:lvl>
    <w:lvl w:ilvl="6">
      <w:start w:val="1"/>
      <w:numFmt w:val="decimal"/>
      <w:lvlText w:val="%1.%2.%3.%4.%5.%6.%7"/>
      <w:lvlJc w:val="left"/>
      <w:pPr>
        <w:ind w:left="3144" w:hanging="1440.0000000000002"/>
      </w:pPr>
      <w:rPr/>
    </w:lvl>
    <w:lvl w:ilvl="7">
      <w:start w:val="1"/>
      <w:numFmt w:val="decimal"/>
      <w:lvlText w:val="%1.%2.%3.%4.%5.%6.%7.%8"/>
      <w:lvlJc w:val="left"/>
      <w:pPr>
        <w:ind w:left="3788" w:hanging="1800"/>
      </w:pPr>
      <w:rPr/>
    </w:lvl>
    <w:lvl w:ilvl="8">
      <w:start w:val="1"/>
      <w:numFmt w:val="decimal"/>
      <w:lvlText w:val="%1.%2.%3.%4.%5.%6.%7.%8.%9"/>
      <w:lvlJc w:val="left"/>
      <w:pPr>
        <w:ind w:left="4072"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spacing w:after="240" w:line="240" w:lineRule="auto"/>
      <w:ind w:left="576" w:hanging="576"/>
      <w:jc w:val="both"/>
    </w:pPr>
    <w:rPr>
      <w:rFonts w:ascii="Arial" w:cs="Arial" w:eastAsia="Arial" w:hAnsi="Arial"/>
    </w:rPr>
  </w:style>
  <w:style w:type="paragraph" w:styleId="Heading3">
    <w:name w:val="heading 3"/>
    <w:basedOn w:val="Normal"/>
    <w:next w:val="Normal"/>
    <w:pPr>
      <w:spacing w:after="240" w:line="240" w:lineRule="auto"/>
      <w:ind w:left="1996" w:hanging="720"/>
      <w:jc w:val="both"/>
    </w:pPr>
    <w:rPr>
      <w:rFonts w:ascii="Arial" w:cs="Arial" w:eastAsia="Arial" w:hAnsi="Arial"/>
    </w:rPr>
  </w:style>
  <w:style w:type="paragraph" w:styleId="Heading4">
    <w:name w:val="heading 4"/>
    <w:basedOn w:val="Normal"/>
    <w:next w:val="Normal"/>
    <w:pPr>
      <w:spacing w:after="240" w:line="240" w:lineRule="auto"/>
      <w:ind w:left="864" w:hanging="864"/>
      <w:jc w:val="both"/>
    </w:pPr>
    <w:rPr>
      <w:rFonts w:ascii="Arial" w:cs="Arial" w:eastAsia="Arial" w:hAnsi="Arial"/>
    </w:rPr>
  </w:style>
  <w:style w:type="paragraph" w:styleId="Heading5">
    <w:name w:val="heading 5"/>
    <w:basedOn w:val="Normal"/>
    <w:next w:val="Normal"/>
    <w:pPr>
      <w:spacing w:after="240" w:line="240" w:lineRule="auto"/>
      <w:ind w:left="1008" w:hanging="1008"/>
      <w:jc w:val="both"/>
    </w:pPr>
    <w:rPr>
      <w:rFonts w:ascii="Arial" w:cs="Arial" w:eastAsia="Arial" w:hAnsi="Arial"/>
    </w:rPr>
  </w:style>
  <w:style w:type="paragraph" w:styleId="Heading6">
    <w:name w:val="heading 6"/>
    <w:basedOn w:val="Normal"/>
    <w:next w:val="Normal"/>
    <w:pPr>
      <w:spacing w:after="240" w:line="240" w:lineRule="auto"/>
      <w:ind w:left="1152" w:hanging="1152"/>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917C6"/>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val="1"/>
    <w:rsid w:val="00F917C6"/>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9"/>
    <w:qFormat w:val="1"/>
    <w:rsid w:val="00C86911"/>
    <w:pPr>
      <w:adjustRightInd w:val="0"/>
      <w:spacing w:after="240" w:line="240" w:lineRule="auto"/>
      <w:ind w:left="576" w:hanging="576"/>
      <w:jc w:val="both"/>
      <w:outlineLvl w:val="1"/>
    </w:pPr>
    <w:rPr>
      <w:rFonts w:ascii="Arial" w:cs="Times New Roman" w:eastAsia="STZhongsong" w:hAnsi="Arial"/>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9"/>
    <w:qFormat w:val="1"/>
    <w:rsid w:val="00C86911"/>
    <w:pPr>
      <w:adjustRightInd w:val="0"/>
      <w:spacing w:after="240" w:line="240" w:lineRule="auto"/>
      <w:ind w:left="1996" w:hanging="720"/>
      <w:jc w:val="both"/>
      <w:outlineLvl w:val="2"/>
    </w:pPr>
    <w:rPr>
      <w:rFonts w:ascii="Arial" w:cs="Times New Roman" w:eastAsia="STZhongsong" w:hAnsi="Arial"/>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9"/>
    <w:qFormat w:val="1"/>
    <w:rsid w:val="00C86911"/>
    <w:pPr>
      <w:adjustRightInd w:val="0"/>
      <w:spacing w:after="240" w:line="240" w:lineRule="auto"/>
      <w:ind w:left="864" w:hanging="864"/>
      <w:jc w:val="both"/>
      <w:outlineLvl w:val="3"/>
    </w:pPr>
    <w:rPr>
      <w:rFonts w:ascii="Arial" w:cs="Times New Roman" w:eastAsia="STZhongsong" w:hAnsi="Arial"/>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val="1"/>
    <w:rsid w:val="00C86911"/>
    <w:pPr>
      <w:adjustRightInd w:val="0"/>
      <w:spacing w:after="240" w:line="240" w:lineRule="auto"/>
      <w:ind w:left="1008" w:hanging="1008"/>
      <w:jc w:val="both"/>
      <w:outlineLvl w:val="4"/>
    </w:pPr>
    <w:rPr>
      <w:rFonts w:ascii="Arial" w:cs="Times New Roman" w:eastAsia="STZhongsong" w:hAnsi="Arial"/>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val="1"/>
    <w:rsid w:val="00C86911"/>
    <w:pPr>
      <w:adjustRightInd w:val="0"/>
      <w:spacing w:after="240" w:line="240" w:lineRule="auto"/>
      <w:ind w:left="1152" w:hanging="1152"/>
      <w:jc w:val="both"/>
      <w:outlineLvl w:val="5"/>
    </w:pPr>
    <w:rPr>
      <w:rFonts w:ascii="Arial" w:cs="Times New Roman" w:eastAsia="STZhongsong" w:hAnsi="Arial"/>
      <w:szCs w:val="20"/>
      <w:lang w:eastAsia="zh-CN"/>
    </w:rPr>
  </w:style>
  <w:style w:type="paragraph" w:styleId="Heading7">
    <w:name w:val="heading 7"/>
    <w:aliases w:val="Heading 7 (Do Not Use),Heading 7(unused),Legal Level 1.1.,L2 PIP,Lev 7,H7DO NOT USE,PA Appendix Major"/>
    <w:basedOn w:val="Normal"/>
    <w:link w:val="Heading7Char"/>
    <w:qFormat w:val="1"/>
    <w:rsid w:val="00C86911"/>
    <w:pPr>
      <w:adjustRightInd w:val="0"/>
      <w:spacing w:after="240" w:line="240" w:lineRule="auto"/>
      <w:ind w:left="1296" w:hanging="1296"/>
      <w:jc w:val="both"/>
      <w:outlineLvl w:val="6"/>
    </w:pPr>
    <w:rPr>
      <w:rFonts w:ascii="Arial" w:cs="Times New Roman"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val="1"/>
    <w:rsid w:val="00C86911"/>
    <w:pPr>
      <w:adjustRightInd w:val="0"/>
      <w:spacing w:after="240" w:line="240" w:lineRule="auto"/>
      <w:ind w:left="1440" w:hanging="1440"/>
      <w:jc w:val="both"/>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val="1"/>
    <w:rsid w:val="00C86911"/>
    <w:pPr>
      <w:adjustRightInd w:val="0"/>
      <w:spacing w:after="240" w:line="240" w:lineRule="auto"/>
      <w:ind w:left="1584" w:hanging="1584"/>
      <w:jc w:val="both"/>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17C6"/>
    <w:pPr>
      <w:tabs>
        <w:tab w:val="center" w:pos="4513"/>
        <w:tab w:val="right" w:pos="9026"/>
      </w:tabs>
      <w:spacing w:after="0" w:line="240" w:lineRule="auto"/>
    </w:pPr>
    <w:rPr>
      <w:rFonts w:ascii="Calibri" w:cs="Times New Roman" w:eastAsia="Calibri" w:hAnsi="Calibri"/>
    </w:rPr>
  </w:style>
  <w:style w:type="character" w:styleId="HeaderChar" w:customStyle="1">
    <w:name w:val="Header Char"/>
    <w:basedOn w:val="DefaultParagraphFont"/>
    <w:link w:val="Header"/>
    <w:uiPriority w:val="99"/>
    <w:rsid w:val="00F917C6"/>
    <w:rPr>
      <w:rFonts w:ascii="Calibri" w:cs="Times New Roman" w:eastAsia="Calibri" w:hAnsi="Calibri"/>
    </w:rPr>
  </w:style>
  <w:style w:type="paragraph" w:styleId="Footer">
    <w:name w:val="footer"/>
    <w:aliases w:val="fo"/>
    <w:basedOn w:val="Normal"/>
    <w:link w:val="FooterChar"/>
    <w:uiPriority w:val="99"/>
    <w:unhideWhenUsed w:val="1"/>
    <w:rsid w:val="00F917C6"/>
    <w:pPr>
      <w:tabs>
        <w:tab w:val="center" w:pos="4513"/>
        <w:tab w:val="right" w:pos="9026"/>
      </w:tabs>
      <w:spacing w:after="0" w:line="240" w:lineRule="auto"/>
    </w:pPr>
    <w:rPr>
      <w:rFonts w:ascii="Calibri" w:cs="Times New Roman" w:eastAsia="Calibri" w:hAnsi="Calibri"/>
    </w:rPr>
  </w:style>
  <w:style w:type="character" w:styleId="FooterChar" w:customStyle="1">
    <w:name w:val="Footer Char"/>
    <w:aliases w:val="fo Char"/>
    <w:basedOn w:val="DefaultParagraphFont"/>
    <w:link w:val="Footer"/>
    <w:uiPriority w:val="99"/>
    <w:rsid w:val="00F917C6"/>
    <w:rPr>
      <w:rFonts w:ascii="Calibri" w:cs="Times New Roman" w:eastAsia="Calibri" w:hAnsi="Calibri"/>
    </w:rPr>
  </w:style>
  <w:style w:type="paragraph" w:styleId="GPSL1CLAUSEHEADING" w:customStyle="1">
    <w:name w:val="GPS L1 CLAUSE HEADING"/>
    <w:basedOn w:val="Normal"/>
    <w:next w:val="Normal"/>
    <w:link w:val="GPSL1CLAUSEHEADINGChar"/>
    <w:qFormat w:val="1"/>
    <w:rsid w:val="00F917C6"/>
    <w:pPr>
      <w:tabs>
        <w:tab w:val="left" w:pos="0"/>
      </w:tabs>
      <w:adjustRightInd w:val="0"/>
      <w:spacing w:after="240" w:before="240" w:line="240" w:lineRule="auto"/>
      <w:ind w:left="360" w:hanging="360"/>
      <w:jc w:val="both"/>
      <w:outlineLvl w:val="1"/>
    </w:pPr>
    <w:rPr>
      <w:rFonts w:ascii="Arial Bold" w:cs="Arial" w:eastAsia="STZhongsong" w:hAnsi="Arial Bold"/>
      <w:b w:val="1"/>
      <w:caps w:val="1"/>
      <w:lang w:eastAsia="zh-CN"/>
    </w:rPr>
  </w:style>
  <w:style w:type="paragraph" w:styleId="GPSL3numberedclause" w:customStyle="1">
    <w:name w:val="GPS L3 numbered clause"/>
    <w:basedOn w:val="Normal"/>
    <w:link w:val="GPSL3numberedclauseChar"/>
    <w:qFormat w:val="1"/>
    <w:rsid w:val="00F917C6"/>
    <w:pPr>
      <w:tabs>
        <w:tab w:val="left" w:pos="1985"/>
        <w:tab w:val="left" w:pos="2127"/>
      </w:tabs>
      <w:adjustRightInd w:val="0"/>
      <w:spacing w:after="120" w:before="120" w:line="240" w:lineRule="auto"/>
      <w:ind w:left="436" w:hanging="720"/>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rsid w:val="00F917C6"/>
    <w:pPr>
      <w:tabs>
        <w:tab w:val="clear" w:pos="2127"/>
      </w:tabs>
      <w:ind w:left="2988"/>
    </w:pPr>
    <w:rPr>
      <w:szCs w:val="20"/>
    </w:rPr>
  </w:style>
  <w:style w:type="character" w:styleId="GPSL4numberedclauseChar" w:customStyle="1">
    <w:name w:val="GPS L4 numbered clause Char"/>
    <w:link w:val="GPSL4numberedclause"/>
    <w:rsid w:val="00F917C6"/>
    <w:rPr>
      <w:rFonts w:ascii="Calibri" w:cs="Arial" w:eastAsia="Times New Roman" w:hAnsi="Calibri"/>
      <w:szCs w:val="20"/>
      <w:lang w:eastAsia="zh-CN"/>
    </w:rPr>
  </w:style>
  <w:style w:type="character" w:styleId="GPSL3numberedclauseChar" w:customStyle="1">
    <w:name w:val="GPS L3 numbered clause Char"/>
    <w:link w:val="GPSL3numberedclause"/>
    <w:rsid w:val="00F917C6"/>
    <w:rPr>
      <w:rFonts w:ascii="Calibri" w:cs="Arial" w:eastAsia="Times New Roman" w:hAnsi="Calibri"/>
      <w:lang w:eastAsia="zh-CN"/>
    </w:rPr>
  </w:style>
  <w:style w:type="numbering" w:styleId="LFO5" w:customStyle="1">
    <w:name w:val="LFO5"/>
    <w:basedOn w:val="NoList"/>
    <w:rsid w:val="00F917C6"/>
    <w:pPr>
      <w:numPr>
        <w:numId w:val="1"/>
      </w:numPr>
    </w:pPr>
  </w:style>
  <w:style w:type="character" w:styleId="GPSL1CLAUSEHEADINGChar" w:customStyle="1">
    <w:name w:val="GPS L1 CLAUSE HEADING Char"/>
    <w:basedOn w:val="DefaultParagraphFont"/>
    <w:link w:val="GPSL1CLAUSEHEADING"/>
    <w:rsid w:val="00F917C6"/>
    <w:rPr>
      <w:rFonts w:ascii="Arial Bold" w:cs="Arial" w:eastAsia="STZhongsong" w:hAnsi="Arial Bold"/>
      <w:b w:val="1"/>
      <w:caps w:val="1"/>
      <w:lang w:eastAsia="zh-CN"/>
    </w:rPr>
  </w:style>
  <w:style w:type="paragraph" w:styleId="GPSL2NumberedBoldHeading" w:customStyle="1">
    <w:name w:val="GPS L2 Numbered Bold Heading"/>
    <w:basedOn w:val="Normal"/>
    <w:link w:val="GPSL2NumberedBoldHeadingChar"/>
    <w:qFormat w:val="1"/>
    <w:rsid w:val="00F917C6"/>
    <w:pPr>
      <w:tabs>
        <w:tab w:val="left" w:pos="1134"/>
      </w:tabs>
      <w:adjustRightInd w:val="0"/>
      <w:spacing w:after="120" w:before="120" w:line="240" w:lineRule="auto"/>
      <w:ind w:left="1391" w:hanging="360"/>
      <w:jc w:val="both"/>
    </w:pPr>
    <w:rPr>
      <w:rFonts w:ascii="Calibri" w:cs="Arial" w:eastAsia="Times New Roman" w:hAnsi="Calibri"/>
      <w:b w:val="1"/>
      <w:lang w:eastAsia="zh-CN"/>
    </w:rPr>
  </w:style>
  <w:style w:type="character" w:styleId="GPSL2NumberedBoldHeadingChar" w:customStyle="1">
    <w:name w:val="GPS L2 Numbered Bold Heading Char"/>
    <w:link w:val="GPSL2NumberedBoldHeading"/>
    <w:locked w:val="1"/>
    <w:rsid w:val="00F917C6"/>
    <w:rPr>
      <w:rFonts w:ascii="Calibri" w:cs="Arial" w:eastAsia="Times New Roman" w:hAnsi="Calibri"/>
      <w:b w:val="1"/>
      <w:lang w:eastAsia="zh-CN"/>
    </w:rPr>
  </w:style>
  <w:style w:type="paragraph" w:styleId="GPSL2Indent" w:customStyle="1">
    <w:name w:val="GPS L2 Indent"/>
    <w:basedOn w:val="Normal"/>
    <w:link w:val="GPSL2IndentChar"/>
    <w:qFormat w:val="1"/>
    <w:rsid w:val="00F917C6"/>
    <w:pPr>
      <w:tabs>
        <w:tab w:val="left" w:pos="3402"/>
      </w:tabs>
      <w:overflowPunct w:val="0"/>
      <w:autoSpaceDE w:val="0"/>
      <w:autoSpaceDN w:val="0"/>
      <w:adjustRightInd w:val="0"/>
      <w:spacing w:after="220" w:line="240" w:lineRule="auto"/>
      <w:ind w:left="1134"/>
      <w:jc w:val="both"/>
      <w:textAlignment w:val="baseline"/>
    </w:pPr>
    <w:rPr>
      <w:rFonts w:ascii="Calibri" w:cs="Arial" w:eastAsia="Times New Roman" w:hAnsi="Calibri"/>
      <w:szCs w:val="24"/>
    </w:rPr>
  </w:style>
  <w:style w:type="character" w:styleId="GPSL2IndentChar" w:customStyle="1">
    <w:name w:val="GPS L2 Indent Char"/>
    <w:link w:val="GPSL2Indent"/>
    <w:rsid w:val="00F917C6"/>
    <w:rPr>
      <w:rFonts w:ascii="Calibri" w:cs="Arial" w:eastAsia="Times New Roman" w:hAnsi="Calibri"/>
      <w:szCs w:val="24"/>
    </w:rPr>
  </w:style>
  <w:style w:type="paragraph" w:styleId="Style1" w:customStyle="1">
    <w:name w:val="Style1"/>
    <w:basedOn w:val="Heading1"/>
    <w:link w:val="Style1Char"/>
    <w:qFormat w:val="1"/>
    <w:rsid w:val="00F917C6"/>
    <w:pPr>
      <w:widowControl w:val="0"/>
      <w:spacing w:before="20" w:line="240" w:lineRule="auto"/>
    </w:pPr>
    <w:rPr>
      <w:rFonts w:ascii="Arial" w:cs="Arial" w:eastAsia="Calibri" w:hAnsi="Arial"/>
      <w:b w:val="1"/>
      <w:color w:val="auto"/>
      <w:sz w:val="36"/>
      <w:szCs w:val="36"/>
      <w:lang w:eastAsia="en-GB"/>
    </w:rPr>
  </w:style>
  <w:style w:type="character" w:styleId="Style1Char" w:customStyle="1">
    <w:name w:val="Style1 Char"/>
    <w:basedOn w:val="DefaultParagraphFont"/>
    <w:link w:val="Style1"/>
    <w:rsid w:val="00F917C6"/>
    <w:rPr>
      <w:rFonts w:ascii="Arial" w:cs="Arial" w:eastAsia="Calibri" w:hAnsi="Arial"/>
      <w:b w:val="1"/>
      <w:sz w:val="36"/>
      <w:szCs w:val="36"/>
      <w:lang w:eastAsia="en-GB"/>
    </w:rPr>
  </w:style>
  <w:style w:type="paragraph" w:styleId="Style4" w:customStyle="1">
    <w:name w:val="Style4"/>
    <w:basedOn w:val="Normal"/>
    <w:link w:val="Style4Char"/>
    <w:qFormat w:val="1"/>
    <w:rsid w:val="00F917C6"/>
    <w:pPr>
      <w:tabs>
        <w:tab w:val="left" w:pos="709"/>
        <w:tab w:val="left" w:pos="1134"/>
      </w:tabs>
      <w:autoSpaceDN w:val="0"/>
      <w:spacing w:after="120" w:before="120" w:line="240" w:lineRule="auto"/>
    </w:pPr>
    <w:rPr>
      <w:rFonts w:ascii="Arial" w:cs="Arial" w:eastAsia="Times New Roman" w:hAnsi="Arial"/>
      <w:b w:val="1"/>
      <w:sz w:val="24"/>
      <w:szCs w:val="20"/>
      <w:lang w:eastAsia="zh-CN"/>
    </w:rPr>
  </w:style>
  <w:style w:type="character" w:styleId="Style4Char" w:customStyle="1">
    <w:name w:val="Style4 Char"/>
    <w:basedOn w:val="DefaultParagraphFont"/>
    <w:link w:val="Style4"/>
    <w:rsid w:val="00F917C6"/>
    <w:rPr>
      <w:rFonts w:ascii="Arial" w:cs="Arial" w:eastAsia="Times New Roman" w:hAnsi="Arial"/>
      <w:b w:val="1"/>
      <w:sz w:val="24"/>
      <w:szCs w:val="20"/>
      <w:lang w:eastAsia="zh-CN"/>
    </w:rPr>
  </w:style>
  <w:style w:type="table" w:styleId="TableGrid1" w:customStyle="1">
    <w:name w:val="Table Grid1"/>
    <w:basedOn w:val="TableNormal"/>
    <w:next w:val="TableGrid"/>
    <w:uiPriority w:val="39"/>
    <w:rsid w:val="00F917C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F917C6"/>
    <w:rPr>
      <w:rFonts w:asciiTheme="majorHAnsi" w:cstheme="majorBidi" w:eastAsiaTheme="majorEastAsia" w:hAnsiTheme="majorHAnsi"/>
      <w:color w:val="2f5496" w:themeColor="accent1" w:themeShade="0000BF"/>
      <w:sz w:val="32"/>
      <w:szCs w:val="32"/>
    </w:rPr>
  </w:style>
  <w:style w:type="table" w:styleId="TableGrid">
    <w:name w:val="Table Grid"/>
    <w:basedOn w:val="TableNormal"/>
    <w:uiPriority w:val="39"/>
    <w:rsid w:val="00F917C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3F35F4"/>
    <w:pPr>
      <w:spacing w:after="0" w:line="240" w:lineRule="auto"/>
    </w:pPr>
  </w:style>
  <w:style w:type="character" w:styleId="CommentReference">
    <w:name w:val="annotation reference"/>
    <w:basedOn w:val="DefaultParagraphFont"/>
    <w:uiPriority w:val="99"/>
    <w:semiHidden w:val="1"/>
    <w:unhideWhenUsed w:val="1"/>
    <w:rsid w:val="00DD52AC"/>
    <w:rPr>
      <w:sz w:val="16"/>
      <w:szCs w:val="16"/>
    </w:rPr>
  </w:style>
  <w:style w:type="paragraph" w:styleId="CommentText">
    <w:name w:val="annotation text"/>
    <w:basedOn w:val="Normal"/>
    <w:link w:val="CommentTextChar"/>
    <w:uiPriority w:val="99"/>
    <w:unhideWhenUsed w:val="1"/>
    <w:rsid w:val="00DD52AC"/>
    <w:pPr>
      <w:spacing w:line="240" w:lineRule="auto"/>
    </w:pPr>
    <w:rPr>
      <w:sz w:val="20"/>
      <w:szCs w:val="20"/>
    </w:rPr>
  </w:style>
  <w:style w:type="character" w:styleId="CommentTextChar" w:customStyle="1">
    <w:name w:val="Comment Text Char"/>
    <w:basedOn w:val="DefaultParagraphFont"/>
    <w:link w:val="CommentText"/>
    <w:uiPriority w:val="99"/>
    <w:rsid w:val="00DD52AC"/>
    <w:rPr>
      <w:sz w:val="20"/>
      <w:szCs w:val="20"/>
    </w:rPr>
  </w:style>
  <w:style w:type="paragraph" w:styleId="CommentSubject">
    <w:name w:val="annotation subject"/>
    <w:basedOn w:val="CommentText"/>
    <w:next w:val="CommentText"/>
    <w:link w:val="CommentSubjectChar"/>
    <w:uiPriority w:val="99"/>
    <w:semiHidden w:val="1"/>
    <w:unhideWhenUsed w:val="1"/>
    <w:rsid w:val="00DD52AC"/>
    <w:rPr>
      <w:b w:val="1"/>
      <w:bCs w:val="1"/>
    </w:rPr>
  </w:style>
  <w:style w:type="character" w:styleId="CommentSubjectChar" w:customStyle="1">
    <w:name w:val="Comment Subject Char"/>
    <w:basedOn w:val="CommentTextChar"/>
    <w:link w:val="CommentSubject"/>
    <w:uiPriority w:val="99"/>
    <w:semiHidden w:val="1"/>
    <w:rsid w:val="00DD52AC"/>
    <w:rPr>
      <w:b w:val="1"/>
      <w:bCs w:val="1"/>
      <w:sz w:val="20"/>
      <w:szCs w:val="20"/>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C86911"/>
    <w:rPr>
      <w:rFonts w:ascii="Arial" w:cs="Times New Roman" w:eastAsia="STZhongsong" w:hAnsi="Arial"/>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C86911"/>
    <w:rPr>
      <w:rFonts w:ascii="Arial" w:cs="Times New Roman" w:eastAsia="STZhongsong" w:hAnsi="Arial"/>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C86911"/>
    <w:rPr>
      <w:rFonts w:ascii="Arial" w:cs="Times New Roman" w:eastAsia="STZhongsong" w:hAnsi="Arial"/>
      <w:szCs w:val="20"/>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C86911"/>
    <w:rPr>
      <w:rFonts w:ascii="Arial" w:cs="Times New Roman" w:eastAsia="STZhongsong" w:hAnsi="Arial"/>
      <w:szCs w:val="20"/>
      <w:lang w:eastAsia="zh-CN"/>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C86911"/>
    <w:rPr>
      <w:rFonts w:ascii="Arial" w:cs="Times New Roman" w:eastAsia="STZhongsong" w:hAnsi="Arial"/>
      <w:szCs w:val="20"/>
      <w:lang w:eastAsia="zh-CN"/>
    </w:rPr>
  </w:style>
  <w:style w:type="character" w:styleId="Heading7Char" w:customStyle="1">
    <w:name w:val="Heading 7 Char"/>
    <w:aliases w:val="Heading 7 (Do Not Use) Char,Heading 7(unused) Char,Legal Level 1.1. Char,L2 PIP Char,Lev 7 Char,H7DO NOT USE Char,PA Appendix Major Char"/>
    <w:basedOn w:val="DefaultParagraphFont"/>
    <w:link w:val="Heading7"/>
    <w:rsid w:val="00C86911"/>
    <w:rPr>
      <w:rFonts w:ascii="Arial" w:cs="Times New Roman" w:eastAsia="STZhongsong" w:hAnsi="Arial"/>
      <w:szCs w:val="20"/>
      <w:lang w:eastAsia="zh-CN"/>
    </w:rPr>
  </w:style>
  <w:style w:type="character" w:styleId="Heading8Char" w:customStyle="1">
    <w:name w:val="Heading 8 Char"/>
    <w:aliases w:val="Heading 8 (Do Not Use) Char,Legal Level 1.1.1. Char,Lev 8 Char,h8 DO NOT USE Char,PA Appendix Minor Char"/>
    <w:basedOn w:val="DefaultParagraphFont"/>
    <w:link w:val="Heading8"/>
    <w:uiPriority w:val="99"/>
    <w:rsid w:val="00C86911"/>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uiPriority w:val="99"/>
    <w:rsid w:val="00C86911"/>
    <w:rPr>
      <w:rFonts w:ascii="Arial" w:cs="Times New Roman" w:eastAsia="STZhongsong" w:hAnsi="Arial"/>
      <w:szCs w:val="20"/>
      <w:lang w:eastAsia="zh-CN"/>
    </w:rPr>
  </w:style>
  <w:style w:type="table" w:styleId="GridTable1Light-Accent1">
    <w:name w:val="Grid Table 1 Light Accent 1"/>
    <w:basedOn w:val="TableNormal"/>
    <w:uiPriority w:val="46"/>
    <w:rsid w:val="00C86911"/>
    <w:pPr>
      <w:spacing w:after="0" w:line="240" w:lineRule="auto"/>
    </w:pPr>
    <w:rPr>
      <w:rFonts w:ascii="Times New Roman" w:cs="Times New Roman" w:eastAsia="Times New Roman" w:hAnsi="Times New Roman"/>
      <w:sz w:val="20"/>
      <w:szCs w:val="20"/>
      <w:lang w:eastAsia="en-GB"/>
    </w:rPr>
    <w:tblPr>
      <w:tblStyleRowBandSize w:val="1"/>
      <w:tblStyleColBandSize w:val="1"/>
      <w:tblBorders>
        <w:top w:color="b4c6e7" w:space="0" w:sz="4" w:themeColor="accent1" w:themeTint="000066" w:val="single"/>
        <w:left w:color="b4c6e7" w:space="0" w:sz="4" w:themeColor="accent1" w:themeTint="000066" w:val="single"/>
        <w:bottom w:color="b4c6e7" w:space="0" w:sz="4" w:themeColor="accent1" w:themeTint="000066" w:val="single"/>
        <w:right w:color="b4c6e7" w:space="0" w:sz="4" w:themeColor="accent1" w:themeTint="000066" w:val="single"/>
        <w:insideH w:color="b4c6e7" w:space="0" w:sz="4" w:themeColor="accent1" w:themeTint="000066" w:val="single"/>
        <w:insideV w:color="b4c6e7" w:space="0" w:sz="4" w:themeColor="accent1" w:themeTint="000066"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2" w:themeColor="accent1" w:themeTint="000099" w:val="double"/>
        </w:tcBorders>
      </w:tcPr>
    </w:tblStylePr>
    <w:tblStylePr w:type="firstCol">
      <w:rPr>
        <w:b w:val="1"/>
        <w:bCs w:val="1"/>
      </w:rPr>
    </w:tblStylePr>
    <w:tblStylePr w:type="lastCol">
      <w:rPr>
        <w:b w:val="1"/>
        <w:bCs w:val="1"/>
      </w:rPr>
    </w:tblStylePr>
  </w:style>
  <w:style w:type="character" w:styleId="normaltextrun" w:customStyle="1">
    <w:name w:val="normaltextrun"/>
    <w:basedOn w:val="DefaultParagraphFont"/>
    <w:rsid w:val="00F62560"/>
  </w:style>
  <w:style w:type="character" w:styleId="eop" w:customStyle="1">
    <w:name w:val="eop"/>
    <w:basedOn w:val="DefaultParagraphFont"/>
    <w:rsid w:val="00F62560"/>
  </w:style>
  <w:style w:type="character" w:styleId="Mention">
    <w:name w:val="Mention"/>
    <w:basedOn w:val="DefaultParagraphFont"/>
    <w:uiPriority w:val="99"/>
    <w:unhideWhenUsed w:val="1"/>
    <w:rsid w:val="00D505F4"/>
    <w:rPr>
      <w:color w:val="2b579a"/>
      <w:shd w:color="auto" w:fill="e1dfdd" w:val="clear"/>
    </w:rPr>
  </w:style>
  <w:style w:type="paragraph" w:styleId="Normal0" w:customStyle="1">
    <w:name w:val="Normal0"/>
    <w:qFormat w:val="1"/>
    <w:rsid w:val="00604371"/>
    <w:pPr>
      <w:spacing w:after="200" w:line="276" w:lineRule="auto"/>
    </w:pPr>
    <w:rPr>
      <w:rFonts w:ascii="Calibri" w:cs="Times New Roman" w:eastAsia="Calibri" w:hAnsi="Calibri"/>
      <w:lang w:eastAsia="en-GB"/>
    </w:rPr>
  </w:style>
  <w:style w:type="paragraph" w:styleId="GPsDefinition" w:customStyle="1">
    <w:name w:val="GPs Definition"/>
    <w:basedOn w:val="Normal0"/>
    <w:qFormat w:val="1"/>
    <w:rsid w:val="00604371"/>
    <w:pPr>
      <w:numPr>
        <w:numId w:val="10"/>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rsid w:val="00604371"/>
    <w:pPr>
      <w:numPr>
        <w:ilvl w:val="1"/>
      </w:numPr>
      <w:tabs>
        <w:tab w:val="clear" w:pos="-9"/>
        <w:tab w:val="left" w:pos="144"/>
      </w:tabs>
      <w:ind w:hanging="545"/>
    </w:pPr>
  </w:style>
  <w:style w:type="paragraph" w:styleId="GPSDefinitionL3" w:customStyle="1">
    <w:name w:val="GPS Definition L3"/>
    <w:basedOn w:val="GPSDefinitionL2"/>
    <w:qFormat w:val="1"/>
    <w:rsid w:val="00604371"/>
    <w:pPr>
      <w:numPr>
        <w:ilvl w:val="2"/>
      </w:numPr>
    </w:pPr>
  </w:style>
  <w:style w:type="paragraph" w:styleId="GPSDefinitionL4" w:customStyle="1">
    <w:name w:val="GPS Definition L4"/>
    <w:basedOn w:val="GPSDefinitionL3"/>
    <w:qFormat w:val="1"/>
    <w:rsid w:val="00604371"/>
    <w:pPr>
      <w:numPr>
        <w:ilvl w:val="3"/>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nbUD8u2Bq500+sJIWBOQIfFP5A==">CgMxLjAyCGguZ2pkZ3hzMgloLjMwajB6bGwyCWguMWZvYjl0ZTIJaC4zem55c2g3MgloLjJldDkycDAyCGgudHlqY3d0OAByITFtNWNldXFxSXU0OGZjMzNiLXo0TlQtQ3h0NmI1Zl9GRA==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2024-12-09T13:42:00Z</dcterms:created>
  <dc:creator>Lloyd-Evans, David B2 (UKStratCom-DMS-DHC-HCP-SDIResAH)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2023-06-23T14:23:55Z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49abea7c-7272-41b5-8f9a-b9be3f2b4be3</vt:lpwstr>
  </property>
  <property fmtid="{D5CDD505-2E9C-101B-9397-08002B2CF9AE}" pid="8" name="MSIP_Label_d8a60473-494b-4586-a1bb-b0e663054676_ContentBits">
    <vt:lpwstr>0</vt:lpwstr>
  </property>
  <property fmtid="{D5CDD505-2E9C-101B-9397-08002B2CF9AE}" pid="9" name="ContentTypeId">
    <vt:lpwstr>0x0101009CEFB75345CA724198A07DE6383DACB7</vt:lpwstr>
  </property>
  <property fmtid="{D5CDD505-2E9C-101B-9397-08002B2CF9AE}" pid="10" name="MediaServiceImageTags">
    <vt:lpwstr/>
  </property>
</Properties>
</file>